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40692" w14:textId="77777777" w:rsidR="00E4441D" w:rsidRDefault="00E4441D" w:rsidP="001103D1">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4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2940"/>
        <w:gridCol w:w="2550"/>
        <w:gridCol w:w="5085"/>
        <w:gridCol w:w="2895"/>
      </w:tblGrid>
      <w:tr w:rsidR="00E4441D" w14:paraId="28CE60EB" w14:textId="77777777">
        <w:trPr>
          <w:trHeight w:val="1405"/>
        </w:trPr>
        <w:tc>
          <w:tcPr>
            <w:tcW w:w="14475" w:type="dxa"/>
            <w:gridSpan w:val="5"/>
          </w:tcPr>
          <w:p w14:paraId="744CCBA7"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 xml:space="preserve">Nazwa dokumentu: </w:t>
            </w:r>
          </w:p>
          <w:p w14:paraId="412DC3D9" w14:textId="77777777" w:rsidR="00E4441D" w:rsidRDefault="005A7099" w:rsidP="001103D1">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 xml:space="preserve">projekt rozporządzenia Ministra Rozwoju i Technologii zmieniającego rozporządzenie </w:t>
            </w:r>
          </w:p>
          <w:p w14:paraId="13BF312E" w14:textId="77777777" w:rsidR="00E4441D" w:rsidRDefault="005A7099" w:rsidP="001103D1">
            <w:pPr>
              <w:pBdr>
                <w:top w:val="nil"/>
                <w:left w:val="nil"/>
                <w:bottom w:val="nil"/>
                <w:right w:val="nil"/>
                <w:between w:val="nil"/>
              </w:pBdr>
              <w:spacing w:line="360" w:lineRule="auto"/>
              <w:rPr>
                <w:rFonts w:ascii="Arial" w:eastAsia="Arial" w:hAnsi="Arial" w:cs="Arial"/>
                <w:color w:val="000000"/>
                <w:sz w:val="24"/>
                <w:szCs w:val="24"/>
              </w:rPr>
            </w:pPr>
            <w:r>
              <w:rPr>
                <w:rFonts w:ascii="Arial" w:eastAsia="Arial" w:hAnsi="Arial" w:cs="Arial"/>
                <w:b/>
                <w:i/>
                <w:color w:val="000000"/>
                <w:sz w:val="24"/>
                <w:szCs w:val="24"/>
              </w:rPr>
              <w:t>w sprawie warunków technicznych, jakim powinny odpowiadać budynki i ich usytuowanie</w:t>
            </w:r>
          </w:p>
        </w:tc>
      </w:tr>
      <w:tr w:rsidR="00E4441D" w14:paraId="44832121" w14:textId="77777777">
        <w:trPr>
          <w:trHeight w:val="1147"/>
        </w:trPr>
        <w:tc>
          <w:tcPr>
            <w:tcW w:w="1005" w:type="dxa"/>
          </w:tcPr>
          <w:p w14:paraId="1068DB7C"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Lp.</w:t>
            </w:r>
          </w:p>
        </w:tc>
        <w:tc>
          <w:tcPr>
            <w:tcW w:w="2940" w:type="dxa"/>
          </w:tcPr>
          <w:p w14:paraId="21B8DBCC"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Komórka wnosząca uwagi</w:t>
            </w:r>
          </w:p>
        </w:tc>
        <w:tc>
          <w:tcPr>
            <w:tcW w:w="2550" w:type="dxa"/>
          </w:tcPr>
          <w:p w14:paraId="4BD4D9FB"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Jednostka redakcyjna, do której wnoszone są uwagi</w:t>
            </w:r>
          </w:p>
        </w:tc>
        <w:tc>
          <w:tcPr>
            <w:tcW w:w="5085" w:type="dxa"/>
          </w:tcPr>
          <w:p w14:paraId="3FBB46DA"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Treść uwagi i uzasadnienie</w:t>
            </w:r>
          </w:p>
        </w:tc>
        <w:tc>
          <w:tcPr>
            <w:tcW w:w="2895" w:type="dxa"/>
          </w:tcPr>
          <w:p w14:paraId="0E99FCC7" w14:textId="77777777" w:rsidR="00E4441D" w:rsidRDefault="005A7099" w:rsidP="001103D1">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Propozycja zmian</w:t>
            </w:r>
          </w:p>
        </w:tc>
      </w:tr>
      <w:tr w:rsidR="00E672D2" w14:paraId="2684133E" w14:textId="77777777">
        <w:trPr>
          <w:trHeight w:val="1147"/>
        </w:trPr>
        <w:tc>
          <w:tcPr>
            <w:tcW w:w="1005" w:type="dxa"/>
          </w:tcPr>
          <w:p w14:paraId="60B0DAF4" w14:textId="13737A68"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1.</w:t>
            </w:r>
          </w:p>
        </w:tc>
        <w:tc>
          <w:tcPr>
            <w:tcW w:w="2940" w:type="dxa"/>
          </w:tcPr>
          <w:p w14:paraId="7BCCA8EA" w14:textId="6DBE10FC"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757916E2" w14:textId="2F9E81C5"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 xml:space="preserve">§ 1 pkt 1) projektu (dotyczący § 3 pkt 27 rozporządzenia) </w:t>
            </w:r>
          </w:p>
        </w:tc>
        <w:tc>
          <w:tcPr>
            <w:tcW w:w="5085" w:type="dxa"/>
          </w:tcPr>
          <w:p w14:paraId="6EE51D88"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Analiza wskazanego przepisu prowadzi do wniosku, że definicję publicznie dostępnego placu ograniczono (w przypadku obowiązywania miejscowego planu zagospodarowania przestrzennego) do przeznaczenia terenu jako placu, rynku lub terenu komunikacji drogowej publicznej. Tymczasem w przyjętych miejscowych planach zagospodarowania przestrzennego na terenie Polski place publiczne zlokalizowane są także na obszarach o wielu innych przeznaczeniach, w tym m.in. określanych jako teren zieleni urządzonej, </w:t>
            </w:r>
            <w:r>
              <w:rPr>
                <w:rFonts w:ascii="Arial" w:eastAsia="Arial" w:hAnsi="Arial" w:cs="Arial"/>
                <w:sz w:val="24"/>
                <w:szCs w:val="24"/>
              </w:rPr>
              <w:lastRenderedPageBreak/>
              <w:t xml:space="preserve">teren sportu i rekreacji, teren komunikacji, </w:t>
            </w:r>
            <w:r>
              <w:rPr>
                <w:rFonts w:ascii="Arial" w:eastAsia="Arial" w:hAnsi="Arial" w:cs="Arial"/>
                <w:sz w:val="24"/>
                <w:szCs w:val="24"/>
              </w:rPr>
              <w:br/>
              <w:t>a nawet w ramach terenu zabudowy mieszkaniowej.</w:t>
            </w:r>
          </w:p>
          <w:p w14:paraId="416FE24C" w14:textId="66AAE8BC"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color w:val="000000"/>
                <w:sz w:val="24"/>
                <w:szCs w:val="24"/>
              </w:rPr>
              <w:t>Ponadto zauważamy, że d</w:t>
            </w:r>
            <w:r w:rsidRPr="002E4090">
              <w:rPr>
                <w:rFonts w:ascii="Arial" w:eastAsia="Arial" w:hAnsi="Arial" w:cs="Arial"/>
                <w:color w:val="000000"/>
                <w:sz w:val="24"/>
                <w:szCs w:val="24"/>
              </w:rPr>
              <w:t xml:space="preserve">efinicja publicznie dostępnego placu może wskazywać, że jego funkcję może pełnić każda droga publiczna </w:t>
            </w:r>
            <w:r>
              <w:rPr>
                <w:rFonts w:ascii="Arial" w:eastAsia="Arial" w:hAnsi="Arial" w:cs="Arial"/>
                <w:color w:val="000000"/>
                <w:sz w:val="24"/>
                <w:szCs w:val="24"/>
              </w:rPr>
              <w:t>ujęta</w:t>
            </w:r>
            <w:r w:rsidRPr="002E4090">
              <w:rPr>
                <w:rFonts w:ascii="Arial" w:eastAsia="Arial" w:hAnsi="Arial" w:cs="Arial"/>
                <w:color w:val="000000"/>
                <w:sz w:val="24"/>
                <w:szCs w:val="24"/>
              </w:rPr>
              <w:t xml:space="preserve"> w </w:t>
            </w:r>
            <w:r>
              <w:rPr>
                <w:rFonts w:ascii="Arial" w:eastAsia="Arial" w:hAnsi="Arial" w:cs="Arial"/>
                <w:color w:val="000000"/>
                <w:sz w:val="24"/>
                <w:szCs w:val="24"/>
              </w:rPr>
              <w:t xml:space="preserve">miejscowym </w:t>
            </w:r>
            <w:r w:rsidRPr="002E4090">
              <w:rPr>
                <w:rFonts w:ascii="Arial" w:eastAsia="Arial" w:hAnsi="Arial" w:cs="Arial"/>
                <w:color w:val="000000"/>
                <w:sz w:val="24"/>
                <w:szCs w:val="24"/>
              </w:rPr>
              <w:t xml:space="preserve">planie </w:t>
            </w:r>
            <w:r>
              <w:rPr>
                <w:rFonts w:ascii="Arial" w:eastAsia="Arial" w:hAnsi="Arial" w:cs="Arial"/>
                <w:color w:val="000000"/>
                <w:sz w:val="24"/>
                <w:szCs w:val="24"/>
              </w:rPr>
              <w:t>zagospodarowania przestrzennego</w:t>
            </w:r>
            <w:r w:rsidRPr="002E4090">
              <w:rPr>
                <w:rFonts w:ascii="Arial" w:eastAsia="Arial" w:hAnsi="Arial" w:cs="Arial"/>
                <w:color w:val="000000"/>
                <w:sz w:val="24"/>
                <w:szCs w:val="24"/>
              </w:rPr>
              <w:t xml:space="preserve"> lub będąca użytkiem gruntowym </w:t>
            </w:r>
            <w:r>
              <w:rPr>
                <w:rFonts w:ascii="Arial" w:eastAsia="Arial" w:hAnsi="Arial" w:cs="Arial"/>
                <w:color w:val="000000"/>
                <w:sz w:val="24"/>
                <w:szCs w:val="24"/>
              </w:rPr>
              <w:t>„</w:t>
            </w:r>
            <w:r w:rsidRPr="002E4090">
              <w:rPr>
                <w:rFonts w:ascii="Arial" w:eastAsia="Arial" w:hAnsi="Arial" w:cs="Arial"/>
                <w:color w:val="000000"/>
                <w:sz w:val="24"/>
                <w:szCs w:val="24"/>
              </w:rPr>
              <w:t>dr</w:t>
            </w:r>
            <w:r>
              <w:rPr>
                <w:rFonts w:ascii="Arial" w:eastAsia="Arial" w:hAnsi="Arial" w:cs="Arial"/>
                <w:color w:val="000000"/>
                <w:sz w:val="24"/>
                <w:szCs w:val="24"/>
              </w:rPr>
              <w:t>”. Tymczasem</w:t>
            </w:r>
            <w:r w:rsidRPr="002E4090">
              <w:rPr>
                <w:rFonts w:ascii="Arial" w:eastAsia="Arial" w:hAnsi="Arial" w:cs="Arial"/>
                <w:color w:val="000000"/>
                <w:sz w:val="24"/>
                <w:szCs w:val="24"/>
              </w:rPr>
              <w:t xml:space="preserve"> podstawą funkcjonalną placu miejskiego jest </w:t>
            </w:r>
            <w:r>
              <w:rPr>
                <w:rFonts w:ascii="Arial" w:eastAsia="Arial" w:hAnsi="Arial" w:cs="Arial"/>
                <w:color w:val="000000"/>
                <w:sz w:val="24"/>
                <w:szCs w:val="24"/>
              </w:rPr>
              <w:t>okoliczność</w:t>
            </w:r>
            <w:r w:rsidRPr="002E4090">
              <w:rPr>
                <w:rFonts w:ascii="Arial" w:eastAsia="Arial" w:hAnsi="Arial" w:cs="Arial"/>
                <w:color w:val="000000"/>
                <w:sz w:val="24"/>
                <w:szCs w:val="24"/>
              </w:rPr>
              <w:t>, ż</w:t>
            </w:r>
            <w:r>
              <w:rPr>
                <w:rFonts w:ascii="Arial" w:eastAsia="Arial" w:hAnsi="Arial" w:cs="Arial"/>
                <w:color w:val="000000"/>
                <w:sz w:val="24"/>
                <w:szCs w:val="24"/>
              </w:rPr>
              <w:t>e</w:t>
            </w:r>
            <w:r w:rsidRPr="002E4090">
              <w:rPr>
                <w:rFonts w:ascii="Arial" w:eastAsia="Arial" w:hAnsi="Arial" w:cs="Arial"/>
                <w:color w:val="000000"/>
                <w:sz w:val="24"/>
                <w:szCs w:val="24"/>
              </w:rPr>
              <w:t xml:space="preserve"> </w:t>
            </w:r>
            <w:r>
              <w:rPr>
                <w:rFonts w:ascii="Arial" w:eastAsia="Arial" w:hAnsi="Arial" w:cs="Arial"/>
                <w:color w:val="000000"/>
                <w:sz w:val="24"/>
                <w:szCs w:val="24"/>
              </w:rPr>
              <w:t xml:space="preserve">zdecydowana </w:t>
            </w:r>
            <w:r w:rsidRPr="002E4090">
              <w:rPr>
                <w:rFonts w:ascii="Arial" w:eastAsia="Arial" w:hAnsi="Arial" w:cs="Arial"/>
                <w:color w:val="000000"/>
                <w:sz w:val="24"/>
                <w:szCs w:val="24"/>
              </w:rPr>
              <w:t xml:space="preserve">większość </w:t>
            </w:r>
            <w:r>
              <w:rPr>
                <w:rFonts w:ascii="Arial" w:eastAsia="Arial" w:hAnsi="Arial" w:cs="Arial"/>
                <w:color w:val="000000"/>
                <w:sz w:val="24"/>
                <w:szCs w:val="24"/>
              </w:rPr>
              <w:t>tego</w:t>
            </w:r>
            <w:r w:rsidRPr="002E4090">
              <w:rPr>
                <w:rFonts w:ascii="Arial" w:eastAsia="Arial" w:hAnsi="Arial" w:cs="Arial"/>
                <w:color w:val="000000"/>
                <w:sz w:val="24"/>
                <w:szCs w:val="24"/>
              </w:rPr>
              <w:t xml:space="preserve"> terenu przeznaczona jest dla pieszych </w:t>
            </w:r>
            <w:r>
              <w:rPr>
                <w:rFonts w:ascii="Arial" w:eastAsia="Arial" w:hAnsi="Arial" w:cs="Arial"/>
                <w:color w:val="000000"/>
                <w:sz w:val="24"/>
                <w:szCs w:val="24"/>
              </w:rPr>
              <w:t>–</w:t>
            </w:r>
            <w:r w:rsidRPr="002E4090">
              <w:rPr>
                <w:rFonts w:ascii="Arial" w:eastAsia="Arial" w:hAnsi="Arial" w:cs="Arial"/>
                <w:color w:val="000000"/>
                <w:sz w:val="24"/>
                <w:szCs w:val="24"/>
              </w:rPr>
              <w:t xml:space="preserve"> dla zgromadzeń, poruszania się, zatrzymania, rekreacji</w:t>
            </w:r>
            <w:r>
              <w:rPr>
                <w:rFonts w:ascii="Arial" w:eastAsia="Arial" w:hAnsi="Arial" w:cs="Arial"/>
                <w:color w:val="000000"/>
                <w:sz w:val="24"/>
                <w:szCs w:val="24"/>
              </w:rPr>
              <w:t xml:space="preserve">, czy innej podobnej </w:t>
            </w:r>
            <w:r w:rsidRPr="002E4090">
              <w:rPr>
                <w:rFonts w:ascii="Arial" w:eastAsia="Arial" w:hAnsi="Arial" w:cs="Arial"/>
                <w:color w:val="000000"/>
                <w:sz w:val="24"/>
                <w:szCs w:val="24"/>
              </w:rPr>
              <w:t xml:space="preserve">aktywności, a funkcja ruchu kołowego </w:t>
            </w:r>
            <w:r>
              <w:rPr>
                <w:rFonts w:ascii="Arial" w:eastAsia="Arial" w:hAnsi="Arial" w:cs="Arial"/>
                <w:color w:val="000000"/>
                <w:sz w:val="24"/>
                <w:szCs w:val="24"/>
              </w:rPr>
              <w:t>pełni rolę co najwyżej uzupełniającą.</w:t>
            </w:r>
          </w:p>
        </w:tc>
        <w:tc>
          <w:tcPr>
            <w:tcW w:w="2895" w:type="dxa"/>
          </w:tcPr>
          <w:p w14:paraId="45AF57BA"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 xml:space="preserve">Proponujemy uzupełnienie projektowanej definicji </w:t>
            </w:r>
            <w:r>
              <w:rPr>
                <w:rFonts w:ascii="Arial" w:eastAsia="Arial" w:hAnsi="Arial" w:cs="Arial"/>
                <w:sz w:val="24"/>
                <w:szCs w:val="24"/>
              </w:rPr>
              <w:br/>
              <w:t>o zwrot: „lub innym przeznaczeniu o wskazanych cechach”.</w:t>
            </w:r>
          </w:p>
          <w:p w14:paraId="58A63450"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p>
          <w:p w14:paraId="75D12271" w14:textId="77777777" w:rsidR="005A7099" w:rsidRDefault="005A7099" w:rsidP="00E672D2">
            <w:pPr>
              <w:pBdr>
                <w:top w:val="nil"/>
                <w:left w:val="nil"/>
                <w:bottom w:val="nil"/>
                <w:right w:val="nil"/>
                <w:between w:val="nil"/>
              </w:pBdr>
              <w:spacing w:before="240" w:line="360" w:lineRule="auto"/>
              <w:rPr>
                <w:rFonts w:ascii="Arial" w:eastAsia="Arial" w:hAnsi="Arial" w:cs="Arial"/>
                <w:sz w:val="24"/>
                <w:szCs w:val="24"/>
              </w:rPr>
            </w:pPr>
          </w:p>
          <w:p w14:paraId="7B31BD5F"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p>
          <w:p w14:paraId="3E3ADD53"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p>
          <w:p w14:paraId="73497DB5"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p>
          <w:p w14:paraId="656890AC" w14:textId="7777777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p>
          <w:p w14:paraId="7C4963BC" w14:textId="77830381"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Proponujemy u</w:t>
            </w:r>
            <w:r w:rsidRPr="002E4090">
              <w:rPr>
                <w:rFonts w:ascii="Arial" w:eastAsia="Arial" w:hAnsi="Arial" w:cs="Arial"/>
                <w:sz w:val="24"/>
                <w:szCs w:val="24"/>
              </w:rPr>
              <w:t xml:space="preserve">zupełnienie definicji </w:t>
            </w:r>
            <w:r>
              <w:rPr>
                <w:rFonts w:ascii="Arial" w:eastAsia="Arial" w:hAnsi="Arial" w:cs="Arial"/>
                <w:sz w:val="24"/>
                <w:szCs w:val="24"/>
              </w:rPr>
              <w:br/>
              <w:t>–</w:t>
            </w:r>
            <w:r w:rsidRPr="002E4090">
              <w:rPr>
                <w:rFonts w:ascii="Arial" w:eastAsia="Arial" w:hAnsi="Arial" w:cs="Arial"/>
                <w:sz w:val="24"/>
                <w:szCs w:val="24"/>
              </w:rPr>
              <w:t xml:space="preserve"> </w:t>
            </w:r>
            <w:r>
              <w:rPr>
                <w:rFonts w:ascii="Arial" w:eastAsia="Arial" w:hAnsi="Arial" w:cs="Arial"/>
                <w:sz w:val="24"/>
                <w:szCs w:val="24"/>
              </w:rPr>
              <w:t xml:space="preserve">przez dodanie </w:t>
            </w:r>
            <w:r>
              <w:rPr>
                <w:rFonts w:ascii="Arial" w:eastAsia="Arial" w:hAnsi="Arial" w:cs="Arial"/>
                <w:sz w:val="24"/>
                <w:szCs w:val="24"/>
              </w:rPr>
              <w:br/>
            </w:r>
            <w:r w:rsidRPr="002E4090">
              <w:rPr>
                <w:rFonts w:ascii="Arial" w:eastAsia="Arial" w:hAnsi="Arial" w:cs="Arial"/>
                <w:sz w:val="24"/>
                <w:szCs w:val="24"/>
              </w:rPr>
              <w:t xml:space="preserve">po słowach </w:t>
            </w:r>
            <w:r>
              <w:rPr>
                <w:rFonts w:ascii="Arial" w:eastAsia="Arial" w:hAnsi="Arial" w:cs="Arial"/>
                <w:sz w:val="24"/>
                <w:szCs w:val="24"/>
              </w:rPr>
              <w:t>„</w:t>
            </w:r>
            <w:r w:rsidRPr="002E4090">
              <w:rPr>
                <w:rFonts w:ascii="Arial" w:eastAsia="Arial" w:hAnsi="Arial" w:cs="Arial"/>
                <w:sz w:val="24"/>
                <w:szCs w:val="24"/>
              </w:rPr>
              <w:t>teren komunikacji drogowej publicznej</w:t>
            </w:r>
            <w:r>
              <w:rPr>
                <w:rFonts w:ascii="Arial" w:eastAsia="Arial" w:hAnsi="Arial" w:cs="Arial"/>
                <w:sz w:val="24"/>
                <w:szCs w:val="24"/>
              </w:rPr>
              <w:t>”</w:t>
            </w:r>
            <w:r w:rsidRPr="002E4090">
              <w:rPr>
                <w:rFonts w:ascii="Arial" w:eastAsia="Arial" w:hAnsi="Arial" w:cs="Arial"/>
                <w:sz w:val="24"/>
                <w:szCs w:val="24"/>
              </w:rPr>
              <w:t xml:space="preserve"> oraz po słowach </w:t>
            </w:r>
            <w:r>
              <w:rPr>
                <w:rFonts w:ascii="Arial" w:eastAsia="Arial" w:hAnsi="Arial" w:cs="Arial"/>
                <w:sz w:val="24"/>
                <w:szCs w:val="24"/>
              </w:rPr>
              <w:t>„</w:t>
            </w:r>
            <w:r w:rsidRPr="002E4090">
              <w:rPr>
                <w:rFonts w:ascii="Arial" w:eastAsia="Arial" w:hAnsi="Arial" w:cs="Arial"/>
                <w:sz w:val="24"/>
                <w:szCs w:val="24"/>
              </w:rPr>
              <w:t>lub jako droga</w:t>
            </w:r>
            <w:r>
              <w:rPr>
                <w:rFonts w:ascii="Arial" w:eastAsia="Arial" w:hAnsi="Arial" w:cs="Arial"/>
                <w:sz w:val="24"/>
                <w:szCs w:val="24"/>
              </w:rPr>
              <w:t>”</w:t>
            </w:r>
            <w:r w:rsidRPr="002E4090">
              <w:rPr>
                <w:rFonts w:ascii="Arial" w:eastAsia="Arial" w:hAnsi="Arial" w:cs="Arial"/>
                <w:sz w:val="24"/>
                <w:szCs w:val="24"/>
              </w:rPr>
              <w:t xml:space="preserve"> </w:t>
            </w:r>
            <w:r>
              <w:rPr>
                <w:rFonts w:ascii="Arial" w:eastAsia="Arial" w:hAnsi="Arial" w:cs="Arial"/>
                <w:sz w:val="24"/>
                <w:szCs w:val="24"/>
              </w:rPr>
              <w:t>zwrotu</w:t>
            </w:r>
            <w:r w:rsidRPr="002E4090">
              <w:rPr>
                <w:rFonts w:ascii="Arial" w:eastAsia="Arial" w:hAnsi="Arial" w:cs="Arial"/>
                <w:sz w:val="24"/>
                <w:szCs w:val="24"/>
              </w:rPr>
              <w:t xml:space="preserve">: </w:t>
            </w:r>
            <w:r>
              <w:rPr>
                <w:rFonts w:ascii="Arial" w:eastAsia="Arial" w:hAnsi="Arial" w:cs="Arial"/>
                <w:sz w:val="24"/>
                <w:szCs w:val="24"/>
              </w:rPr>
              <w:t>„</w:t>
            </w:r>
            <w:r w:rsidRPr="002E4090">
              <w:rPr>
                <w:rFonts w:ascii="Arial" w:eastAsia="Arial" w:hAnsi="Arial" w:cs="Arial"/>
                <w:sz w:val="24"/>
                <w:szCs w:val="24"/>
              </w:rPr>
              <w:t>o przewadze przestrzeni przeznaczonej wyłącznie dla ruchu pieszego</w:t>
            </w:r>
            <w:r>
              <w:rPr>
                <w:rFonts w:ascii="Arial" w:eastAsia="Arial" w:hAnsi="Arial" w:cs="Arial"/>
                <w:sz w:val="24"/>
                <w:szCs w:val="24"/>
              </w:rPr>
              <w:t>”.</w:t>
            </w:r>
          </w:p>
        </w:tc>
      </w:tr>
      <w:tr w:rsidR="00E672D2" w14:paraId="289F548E" w14:textId="77777777">
        <w:trPr>
          <w:trHeight w:val="1147"/>
        </w:trPr>
        <w:tc>
          <w:tcPr>
            <w:tcW w:w="1005" w:type="dxa"/>
          </w:tcPr>
          <w:p w14:paraId="759AC9B9" w14:textId="3BE5E36B" w:rsidR="00E672D2" w:rsidRDefault="00DA5387"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lastRenderedPageBreak/>
              <w:t>2.</w:t>
            </w:r>
          </w:p>
        </w:tc>
        <w:tc>
          <w:tcPr>
            <w:tcW w:w="2940" w:type="dxa"/>
          </w:tcPr>
          <w:p w14:paraId="4E39BD23" w14:textId="77777777"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t>Komitet ds. Nieruchomości Krajowej Izby Gospodarczej</w:t>
            </w:r>
          </w:p>
        </w:tc>
        <w:tc>
          <w:tcPr>
            <w:tcW w:w="2550" w:type="dxa"/>
          </w:tcPr>
          <w:p w14:paraId="1819B62B" w14:textId="04A5C8FF" w:rsidR="00E672D2" w:rsidRDefault="00E672D2" w:rsidP="00E672D2">
            <w:pPr>
              <w:spacing w:before="240" w:line="360" w:lineRule="auto"/>
              <w:rPr>
                <w:rFonts w:ascii="Arial" w:eastAsia="Arial" w:hAnsi="Arial" w:cs="Arial"/>
                <w:color w:val="000000"/>
                <w:sz w:val="24"/>
                <w:szCs w:val="24"/>
              </w:rPr>
            </w:pPr>
            <w:r>
              <w:rPr>
                <w:rFonts w:ascii="Arial" w:eastAsia="Arial" w:hAnsi="Arial" w:cs="Arial"/>
                <w:sz w:val="24"/>
                <w:szCs w:val="24"/>
              </w:rPr>
              <w:t>§ 1 pkt 3) projektu (dotyczący § 20 rozporządzenia)</w:t>
            </w:r>
          </w:p>
        </w:tc>
        <w:tc>
          <w:tcPr>
            <w:tcW w:w="5085" w:type="dxa"/>
          </w:tcPr>
          <w:p w14:paraId="2FA84611" w14:textId="7D5253A3"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W tym przypadku nasze wątpliwości budzą dwie kwestie.</w:t>
            </w:r>
          </w:p>
          <w:p w14:paraId="3CE033DC" w14:textId="14D13F79"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Po pierwsze, w przypadku osób uprawnionych do korzystania z miejsc </w:t>
            </w:r>
            <w:r>
              <w:rPr>
                <w:rFonts w:ascii="Arial" w:eastAsia="Arial" w:hAnsi="Arial" w:cs="Arial"/>
                <w:sz w:val="24"/>
                <w:szCs w:val="24"/>
              </w:rPr>
              <w:lastRenderedPageBreak/>
              <w:t>postojowych dla samochodów osobowych</w:t>
            </w:r>
            <w:r>
              <w:t xml:space="preserve"> </w:t>
            </w:r>
            <w:r w:rsidRPr="003F700B">
              <w:rPr>
                <w:rFonts w:ascii="Arial" w:eastAsia="Arial" w:hAnsi="Arial" w:cs="Arial"/>
                <w:sz w:val="24"/>
                <w:szCs w:val="24"/>
              </w:rPr>
              <w:t>Autorzy projektu w komentowanym przepisie</w:t>
            </w:r>
            <w:r>
              <w:rPr>
                <w:rFonts w:ascii="Arial" w:eastAsia="Arial" w:hAnsi="Arial" w:cs="Arial"/>
                <w:sz w:val="24"/>
                <w:szCs w:val="24"/>
              </w:rPr>
              <w:t xml:space="preserve"> użyli określenia „osoby niepełnosprawne”. Tymczasem stwierdzamy, że w zmianie wskazanej w § 1 pkt 4 (dotyczącej zmienianego § 40 ust. 2), w pkt 6 (dotyczącym § 76), czy pkt 7 (dotyczącym </w:t>
            </w:r>
            <w:r>
              <w:rPr>
                <w:rFonts w:ascii="Arial" w:eastAsia="Arial" w:hAnsi="Arial" w:cs="Arial"/>
                <w:sz w:val="24"/>
                <w:szCs w:val="24"/>
              </w:rPr>
              <w:br/>
              <w:t>§ 85a ust. 2 i 3) użyto z kolei określenia „osoby ze szczególnymi potrzebami”.</w:t>
            </w:r>
          </w:p>
          <w:p w14:paraId="2D6E49EB" w14:textId="7DBF94C8"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t>Po drugie, s</w:t>
            </w:r>
            <w:r w:rsidRPr="00852E1A">
              <w:rPr>
                <w:rFonts w:ascii="Arial" w:eastAsia="Arial" w:hAnsi="Arial" w:cs="Arial"/>
                <w:color w:val="000000"/>
                <w:sz w:val="24"/>
                <w:szCs w:val="24"/>
              </w:rPr>
              <w:t xml:space="preserve">formułowanie zawarte </w:t>
            </w:r>
            <w:r>
              <w:rPr>
                <w:rFonts w:ascii="Arial" w:eastAsia="Arial" w:hAnsi="Arial" w:cs="Arial"/>
                <w:color w:val="000000"/>
                <w:sz w:val="24"/>
                <w:szCs w:val="24"/>
              </w:rPr>
              <w:br/>
            </w:r>
            <w:r w:rsidRPr="00852E1A">
              <w:rPr>
                <w:rFonts w:ascii="Arial" w:eastAsia="Arial" w:hAnsi="Arial" w:cs="Arial"/>
                <w:color w:val="000000"/>
                <w:sz w:val="24"/>
                <w:szCs w:val="24"/>
              </w:rPr>
              <w:t xml:space="preserve">w projekcie </w:t>
            </w:r>
            <w:r>
              <w:rPr>
                <w:rFonts w:ascii="Arial" w:eastAsia="Arial" w:hAnsi="Arial" w:cs="Arial"/>
                <w:color w:val="000000"/>
                <w:sz w:val="24"/>
                <w:szCs w:val="24"/>
              </w:rPr>
              <w:t>„</w:t>
            </w:r>
            <w:r w:rsidRPr="00852E1A">
              <w:rPr>
                <w:rFonts w:ascii="Arial" w:eastAsia="Arial" w:hAnsi="Arial" w:cs="Arial"/>
                <w:color w:val="000000"/>
                <w:sz w:val="24"/>
                <w:szCs w:val="24"/>
              </w:rPr>
              <w:t>jednak nie mniejszej niż 1</w:t>
            </w:r>
            <w:r>
              <w:rPr>
                <w:rFonts w:ascii="Arial" w:eastAsia="Arial" w:hAnsi="Arial" w:cs="Arial"/>
                <w:color w:val="000000"/>
                <w:sz w:val="24"/>
                <w:szCs w:val="24"/>
              </w:rPr>
              <w:t>”</w:t>
            </w:r>
            <w:r w:rsidRPr="00852E1A">
              <w:rPr>
                <w:rFonts w:ascii="Arial" w:eastAsia="Arial" w:hAnsi="Arial" w:cs="Arial"/>
                <w:color w:val="000000"/>
                <w:sz w:val="24"/>
                <w:szCs w:val="24"/>
              </w:rPr>
              <w:t xml:space="preserve"> </w:t>
            </w:r>
            <w:r>
              <w:rPr>
                <w:rFonts w:ascii="Arial" w:eastAsia="Arial" w:hAnsi="Arial" w:cs="Arial"/>
                <w:color w:val="000000"/>
                <w:sz w:val="24"/>
                <w:szCs w:val="24"/>
              </w:rPr>
              <w:br/>
            </w:r>
            <w:r w:rsidRPr="00852E1A">
              <w:rPr>
                <w:rFonts w:ascii="Arial" w:eastAsia="Arial" w:hAnsi="Arial" w:cs="Arial"/>
                <w:color w:val="000000"/>
                <w:sz w:val="24"/>
                <w:szCs w:val="24"/>
              </w:rPr>
              <w:t>może sugerować, że przynajmniej jedno stanowisko postojowe powinno być zbliżone do okien budynków.</w:t>
            </w:r>
            <w:r>
              <w:rPr>
                <w:rFonts w:ascii="Arial" w:eastAsia="Arial" w:hAnsi="Arial" w:cs="Arial"/>
                <w:color w:val="000000"/>
                <w:sz w:val="24"/>
                <w:szCs w:val="24"/>
              </w:rPr>
              <w:t xml:space="preserve"> Omawiana wątpliwość może powodować rozbieżne interpretacje organów administracji architektoniczno-budowlanej, co nie będzie sprzyjało jednolitości i spójności stosowania przepisów.</w:t>
            </w:r>
          </w:p>
        </w:tc>
        <w:tc>
          <w:tcPr>
            <w:tcW w:w="2895" w:type="dxa"/>
          </w:tcPr>
          <w:p w14:paraId="059749E2" w14:textId="77777777" w:rsidR="00C40BF7" w:rsidRDefault="00E672D2" w:rsidP="00C40BF7">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 xml:space="preserve">Sugerujemy zastąpienie określenia: „osoby niepełnosprawne”, określeniem: „osoby ze </w:t>
            </w:r>
            <w:r>
              <w:rPr>
                <w:rFonts w:ascii="Arial" w:eastAsia="Arial" w:hAnsi="Arial" w:cs="Arial"/>
                <w:sz w:val="24"/>
                <w:szCs w:val="24"/>
              </w:rPr>
              <w:lastRenderedPageBreak/>
              <w:t>szczególnymi potrzebami” lub wnioskujemy o wyjaśnienie przez Autorów projektu przyjęcia takiego rozróżnienia.</w:t>
            </w:r>
          </w:p>
          <w:p w14:paraId="7001C048" w14:textId="77777777" w:rsidR="00C40BF7" w:rsidRPr="00C40BF7" w:rsidRDefault="00C40BF7" w:rsidP="00C40BF7">
            <w:pPr>
              <w:pBdr>
                <w:top w:val="nil"/>
                <w:left w:val="nil"/>
                <w:bottom w:val="nil"/>
                <w:right w:val="nil"/>
                <w:between w:val="nil"/>
              </w:pBdr>
              <w:spacing w:before="240" w:line="360" w:lineRule="auto"/>
              <w:rPr>
                <w:rFonts w:ascii="Arial" w:eastAsia="Arial" w:hAnsi="Arial" w:cs="Arial"/>
                <w:sz w:val="32"/>
                <w:szCs w:val="32"/>
              </w:rPr>
            </w:pPr>
          </w:p>
          <w:p w14:paraId="7B167BFB" w14:textId="17FA14EF" w:rsidR="00E672D2" w:rsidRPr="00C40BF7" w:rsidRDefault="00E672D2" w:rsidP="00C40BF7">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color w:val="000000"/>
                <w:sz w:val="24"/>
                <w:szCs w:val="24"/>
              </w:rPr>
              <w:t>Proponujemy d</w:t>
            </w:r>
            <w:r w:rsidRPr="00852E1A">
              <w:rPr>
                <w:rFonts w:ascii="Arial" w:eastAsia="Arial" w:hAnsi="Arial" w:cs="Arial"/>
                <w:color w:val="000000"/>
                <w:sz w:val="24"/>
                <w:szCs w:val="24"/>
              </w:rPr>
              <w:t xml:space="preserve">odanie </w:t>
            </w:r>
            <w:r>
              <w:rPr>
                <w:rFonts w:ascii="Arial" w:eastAsia="Arial" w:hAnsi="Arial" w:cs="Arial"/>
                <w:color w:val="000000"/>
                <w:sz w:val="24"/>
                <w:szCs w:val="24"/>
              </w:rPr>
              <w:t xml:space="preserve">do omawianej zmiany </w:t>
            </w:r>
            <w:r w:rsidRPr="00852E1A">
              <w:rPr>
                <w:rFonts w:ascii="Arial" w:eastAsia="Arial" w:hAnsi="Arial" w:cs="Arial"/>
                <w:color w:val="000000"/>
                <w:sz w:val="24"/>
                <w:szCs w:val="24"/>
              </w:rPr>
              <w:t>zapisu „zaokrąglonej w górę do pełnej liczby” i usunięcie „jednak nie mniejszej niż 1”</w:t>
            </w:r>
            <w:r>
              <w:rPr>
                <w:rFonts w:ascii="Arial" w:eastAsia="Arial" w:hAnsi="Arial" w:cs="Arial"/>
                <w:color w:val="000000"/>
                <w:sz w:val="24"/>
                <w:szCs w:val="24"/>
              </w:rPr>
              <w:t>. Przepis stanowiłby wówczas:</w:t>
            </w:r>
            <w:r w:rsidRPr="00852E1A">
              <w:rPr>
                <w:rFonts w:ascii="Arial" w:eastAsia="Arial" w:hAnsi="Arial" w:cs="Arial"/>
                <w:color w:val="000000"/>
                <w:sz w:val="24"/>
                <w:szCs w:val="24"/>
              </w:rPr>
              <w:t xml:space="preserve"> § 20. Stanowiska postojowe dla samochodów osobowych, z których korzystają</w:t>
            </w:r>
            <w:r>
              <w:rPr>
                <w:rFonts w:ascii="Arial" w:eastAsia="Arial" w:hAnsi="Arial" w:cs="Arial"/>
                <w:color w:val="000000"/>
                <w:sz w:val="24"/>
                <w:szCs w:val="24"/>
              </w:rPr>
              <w:t xml:space="preserve"> </w:t>
            </w:r>
            <w:r w:rsidRPr="00852E1A">
              <w:rPr>
                <w:rFonts w:ascii="Arial" w:eastAsia="Arial" w:hAnsi="Arial" w:cs="Arial"/>
                <w:color w:val="000000"/>
                <w:sz w:val="24"/>
                <w:szCs w:val="24"/>
              </w:rPr>
              <w:t xml:space="preserve">wyłącznie </w:t>
            </w:r>
            <w:r w:rsidRPr="00C40BF7">
              <w:rPr>
                <w:rFonts w:ascii="Arial" w:eastAsia="Arial" w:hAnsi="Arial" w:cs="Arial"/>
                <w:color w:val="000000"/>
                <w:sz w:val="24"/>
                <w:szCs w:val="24"/>
              </w:rPr>
              <w:lastRenderedPageBreak/>
              <w:t>osoby ze szczególnymi potrzebami</w:t>
            </w:r>
            <w:r w:rsidRPr="00852E1A">
              <w:rPr>
                <w:rFonts w:ascii="Arial" w:eastAsia="Arial" w:hAnsi="Arial" w:cs="Arial"/>
                <w:color w:val="000000"/>
                <w:sz w:val="24"/>
                <w:szCs w:val="24"/>
              </w:rPr>
              <w:t>, w liczbie zaokrąglonej w górę do pełnej liczby nie większej niż 6% ogólnej liczby stanowisk postojowych, o której mowa w § 18 ust. 2, mogą być zbliżone bez ograniczeń do okien budynków. Miejsca te wymagają odpowiedniego oznakowania.”</w:t>
            </w:r>
            <w:r>
              <w:rPr>
                <w:rFonts w:ascii="Arial" w:eastAsia="Arial" w:hAnsi="Arial" w:cs="Arial"/>
                <w:color w:val="000000"/>
                <w:sz w:val="24"/>
                <w:szCs w:val="24"/>
              </w:rPr>
              <w:t>.</w:t>
            </w:r>
          </w:p>
        </w:tc>
      </w:tr>
      <w:tr w:rsidR="00E672D2" w14:paraId="1B9A85AA" w14:textId="77777777">
        <w:trPr>
          <w:trHeight w:val="695"/>
        </w:trPr>
        <w:tc>
          <w:tcPr>
            <w:tcW w:w="1005" w:type="dxa"/>
          </w:tcPr>
          <w:p w14:paraId="2478AC63" w14:textId="0494F151"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3.</w:t>
            </w:r>
          </w:p>
        </w:tc>
        <w:tc>
          <w:tcPr>
            <w:tcW w:w="2940" w:type="dxa"/>
          </w:tcPr>
          <w:p w14:paraId="447A1639"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1AB374C2" w14:textId="25C50AB5"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 1 pkt 2) ppkt a projektu</w:t>
            </w:r>
            <w:r>
              <w:rPr>
                <w:rFonts w:ascii="Arial" w:eastAsia="Arial" w:hAnsi="Arial" w:cs="Arial"/>
                <w:sz w:val="24"/>
                <w:szCs w:val="24"/>
              </w:rPr>
              <w:br/>
              <w:t xml:space="preserve">(dotyczący § 12 </w:t>
            </w:r>
            <w:r>
              <w:rPr>
                <w:rFonts w:ascii="Arial" w:eastAsia="Arial" w:hAnsi="Arial" w:cs="Arial"/>
                <w:sz w:val="24"/>
                <w:szCs w:val="24"/>
              </w:rPr>
              <w:br/>
              <w:t>ust. 1 pkt 3 i 4 rozporządzenia)</w:t>
            </w:r>
          </w:p>
        </w:tc>
        <w:tc>
          <w:tcPr>
            <w:tcW w:w="5085" w:type="dxa"/>
          </w:tcPr>
          <w:p w14:paraId="7192E71A" w14:textId="004D6CCD"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Kwestia odległości między budynkami mieszkaniowymi i innymi budynkami już aktualnie regulowana jest przez szereg przepisów dotyczących wymogów ochrony pożarowej, warunków nasłonecznienia czy przesłaniania. W praktyce parametr odległości budynku od granicy działki nie ma kluczowego znaczenia dla komfortu </w:t>
            </w:r>
            <w:r>
              <w:rPr>
                <w:rFonts w:ascii="Arial" w:eastAsia="Arial" w:hAnsi="Arial" w:cs="Arial"/>
                <w:sz w:val="24"/>
                <w:szCs w:val="24"/>
              </w:rPr>
              <w:br/>
            </w:r>
            <w:r>
              <w:rPr>
                <w:rFonts w:ascii="Arial" w:eastAsia="Arial" w:hAnsi="Arial" w:cs="Arial"/>
                <w:sz w:val="24"/>
                <w:szCs w:val="24"/>
              </w:rPr>
              <w:lastRenderedPageBreak/>
              <w:t xml:space="preserve">i standardu zamieszkiwania lokalu. Skutkiem zwiększenia odległości usytuowania obiektu od granicy (z odpowiednio 4 i 3 m do 5 m </w:t>
            </w:r>
            <w:r>
              <w:rPr>
                <w:rFonts w:ascii="Arial" w:eastAsia="Arial" w:hAnsi="Arial" w:cs="Arial"/>
                <w:sz w:val="24"/>
                <w:szCs w:val="24"/>
              </w:rPr>
              <w:br/>
              <w:t xml:space="preserve">dla budynków mieszkalnych wielorodzinnych powyżej 4 kondygnacji nadziemnych) spowoduje zmniejszenie chłonności wielu terenów, przy braku realnego wpływu na jakość mieszkań i terenów wokół budynków. W konsekwencji wpłynie to na dalsze ograniczenie dostępności terenów pod rozwój zabudowy mieszkaniowej i wzrost cen lokali mieszkalnych. Zauważamy także, że projektowana zmiana jest szczególnie nieuzasadniona w przypadkach, kiedy </w:t>
            </w:r>
            <w:r>
              <w:rPr>
                <w:rFonts w:ascii="Arial" w:eastAsia="Arial" w:hAnsi="Arial" w:cs="Arial"/>
                <w:sz w:val="24"/>
                <w:szCs w:val="24"/>
              </w:rPr>
              <w:br/>
              <w:t xml:space="preserve">działka inwestycyjna sąsiaduje z terenem niebudowlanym innym niż publicznie dostępny plac lub działka drogowa </w:t>
            </w:r>
            <w:r>
              <w:rPr>
                <w:rFonts w:ascii="Arial" w:eastAsia="Arial" w:hAnsi="Arial" w:cs="Arial"/>
                <w:sz w:val="24"/>
                <w:szCs w:val="24"/>
              </w:rPr>
              <w:br/>
              <w:t>– np. skwer, park, zbiornik wodny.</w:t>
            </w:r>
          </w:p>
          <w:p w14:paraId="2BB8CC3A" w14:textId="4465F233"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Niezależnie od powyższego, uważamy za nieuzasadniony brak różnicowania odległości budynku mieszkalnego wielorodzinnego </w:t>
            </w:r>
            <w:r>
              <w:rPr>
                <w:rFonts w:ascii="Arial" w:eastAsia="Arial" w:hAnsi="Arial" w:cs="Arial"/>
                <w:sz w:val="24"/>
                <w:szCs w:val="24"/>
              </w:rPr>
              <w:br/>
            </w:r>
            <w:r>
              <w:rPr>
                <w:rFonts w:ascii="Arial" w:eastAsia="Arial" w:hAnsi="Arial" w:cs="Arial"/>
                <w:sz w:val="24"/>
                <w:szCs w:val="24"/>
              </w:rPr>
              <w:lastRenderedPageBreak/>
              <w:t xml:space="preserve">o wysokości ponad 4 kondygnacji nadziemnych w zależności od tego czy </w:t>
            </w:r>
            <w:r>
              <w:rPr>
                <w:rFonts w:ascii="Arial" w:eastAsia="Arial" w:hAnsi="Arial" w:cs="Arial"/>
                <w:sz w:val="24"/>
                <w:szCs w:val="24"/>
              </w:rPr>
              <w:br/>
              <w:t xml:space="preserve">jest zwrócony ścianą z oknami lub drzwiami w stronę tej granicy albo ścianą bez okien </w:t>
            </w:r>
            <w:r>
              <w:rPr>
                <w:rFonts w:ascii="Arial" w:eastAsia="Arial" w:hAnsi="Arial" w:cs="Arial"/>
                <w:sz w:val="24"/>
                <w:szCs w:val="24"/>
              </w:rPr>
              <w:br/>
              <w:t xml:space="preserve">lub drzwi w stronę tej granicy i ustalenie </w:t>
            </w:r>
            <w:r>
              <w:rPr>
                <w:rFonts w:ascii="Arial" w:eastAsia="Arial" w:hAnsi="Arial" w:cs="Arial"/>
                <w:sz w:val="24"/>
                <w:szCs w:val="24"/>
              </w:rPr>
              <w:br/>
              <w:t>obu odległości na 5 m.</w:t>
            </w:r>
          </w:p>
        </w:tc>
        <w:tc>
          <w:tcPr>
            <w:tcW w:w="2895" w:type="dxa"/>
          </w:tcPr>
          <w:p w14:paraId="6B7FA99B" w14:textId="435774B0"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lastRenderedPageBreak/>
              <w:t xml:space="preserve">Proponujemy usunięcie wprowadzonych zapisów nowelizujących § 12 </w:t>
            </w:r>
            <w:r>
              <w:rPr>
                <w:rFonts w:ascii="Arial" w:eastAsia="Arial" w:hAnsi="Arial" w:cs="Arial"/>
                <w:sz w:val="24"/>
                <w:szCs w:val="24"/>
              </w:rPr>
              <w:br/>
              <w:t>ust. 1 pkt 3 i 4 rozporządzenia.</w:t>
            </w:r>
          </w:p>
        </w:tc>
      </w:tr>
      <w:tr w:rsidR="00E672D2" w14:paraId="746B9CA3" w14:textId="77777777">
        <w:trPr>
          <w:trHeight w:val="695"/>
        </w:trPr>
        <w:tc>
          <w:tcPr>
            <w:tcW w:w="1005" w:type="dxa"/>
          </w:tcPr>
          <w:p w14:paraId="12068308" w14:textId="66339D61"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4.</w:t>
            </w:r>
          </w:p>
        </w:tc>
        <w:tc>
          <w:tcPr>
            <w:tcW w:w="2940" w:type="dxa"/>
          </w:tcPr>
          <w:p w14:paraId="1EDD8D32"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347E6EFD" w14:textId="40770B3F"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 1 pkt 2) ppkt b projektu</w:t>
            </w:r>
            <w:r>
              <w:rPr>
                <w:rFonts w:ascii="Arial" w:eastAsia="Arial" w:hAnsi="Arial" w:cs="Arial"/>
                <w:sz w:val="24"/>
                <w:szCs w:val="24"/>
              </w:rPr>
              <w:br/>
              <w:t xml:space="preserve">(dotyczący § 12 </w:t>
            </w:r>
            <w:r>
              <w:rPr>
                <w:rFonts w:ascii="Arial" w:eastAsia="Arial" w:hAnsi="Arial" w:cs="Arial"/>
                <w:sz w:val="24"/>
                <w:szCs w:val="24"/>
              </w:rPr>
              <w:br/>
              <w:t>ust. 6 pkt 3 rozporządzenia)</w:t>
            </w:r>
          </w:p>
        </w:tc>
        <w:tc>
          <w:tcPr>
            <w:tcW w:w="5085" w:type="dxa"/>
          </w:tcPr>
          <w:p w14:paraId="71749FBF" w14:textId="3CBEAD9E"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Nie znajdujemy uzasadnienia dla wprowadzenia odrębnej odległości balkonu od granic działki budowlanej dla budynków mieszkalnych wielorodzinnych o wysokości ponad 4 kondygnacji nadziemnych </w:t>
            </w:r>
          </w:p>
        </w:tc>
        <w:tc>
          <w:tcPr>
            <w:tcW w:w="2895" w:type="dxa"/>
          </w:tcPr>
          <w:p w14:paraId="2221594D" w14:textId="38F8928B"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Proponujemy usunięcie wprowadzonych zapisów § 12 ust. 6 pkt 3 rozporządzenia.</w:t>
            </w:r>
          </w:p>
        </w:tc>
      </w:tr>
      <w:tr w:rsidR="00E672D2" w14:paraId="1B5896DC" w14:textId="77777777">
        <w:trPr>
          <w:trHeight w:val="695"/>
        </w:trPr>
        <w:tc>
          <w:tcPr>
            <w:tcW w:w="1005" w:type="dxa"/>
          </w:tcPr>
          <w:p w14:paraId="5F6505DC" w14:textId="03857186"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5.</w:t>
            </w:r>
          </w:p>
        </w:tc>
        <w:tc>
          <w:tcPr>
            <w:tcW w:w="2940" w:type="dxa"/>
          </w:tcPr>
          <w:p w14:paraId="419EB172"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000A4B2B" w14:textId="3160DD66" w:rsidR="00E672D2" w:rsidRDefault="00E672D2" w:rsidP="00E672D2">
            <w:pPr>
              <w:spacing w:before="240" w:line="360" w:lineRule="auto"/>
              <w:rPr>
                <w:rFonts w:ascii="Arial" w:eastAsia="Arial" w:hAnsi="Arial" w:cs="Arial"/>
                <w:sz w:val="24"/>
                <w:szCs w:val="24"/>
              </w:rPr>
            </w:pPr>
            <w:r w:rsidRPr="0075723E">
              <w:rPr>
                <w:rFonts w:ascii="Arial" w:eastAsia="Arial" w:hAnsi="Arial" w:cs="Arial"/>
                <w:sz w:val="24"/>
                <w:szCs w:val="24"/>
              </w:rPr>
              <w:t>§ 1 pkt 2</w:t>
            </w:r>
            <w:r>
              <w:rPr>
                <w:rFonts w:ascii="Arial" w:eastAsia="Arial" w:hAnsi="Arial" w:cs="Arial"/>
                <w:sz w:val="24"/>
                <w:szCs w:val="24"/>
              </w:rPr>
              <w:t>)</w:t>
            </w:r>
            <w:r w:rsidRPr="0075723E">
              <w:rPr>
                <w:rFonts w:ascii="Arial" w:eastAsia="Arial" w:hAnsi="Arial" w:cs="Arial"/>
                <w:sz w:val="24"/>
                <w:szCs w:val="24"/>
              </w:rPr>
              <w:t xml:space="preserve"> ppkt </w:t>
            </w:r>
            <w:r>
              <w:rPr>
                <w:rFonts w:ascii="Arial" w:eastAsia="Arial" w:hAnsi="Arial" w:cs="Arial"/>
                <w:sz w:val="24"/>
                <w:szCs w:val="24"/>
              </w:rPr>
              <w:t>e</w:t>
            </w:r>
            <w:r w:rsidRPr="0075723E">
              <w:rPr>
                <w:rFonts w:ascii="Arial" w:eastAsia="Arial" w:hAnsi="Arial" w:cs="Arial"/>
                <w:sz w:val="24"/>
                <w:szCs w:val="24"/>
              </w:rPr>
              <w:t xml:space="preserve"> projektu</w:t>
            </w:r>
            <w:r>
              <w:rPr>
                <w:rFonts w:ascii="Arial" w:eastAsia="Arial" w:hAnsi="Arial" w:cs="Arial"/>
                <w:sz w:val="24"/>
                <w:szCs w:val="24"/>
              </w:rPr>
              <w:br/>
            </w:r>
            <w:r w:rsidRPr="0075723E">
              <w:rPr>
                <w:rFonts w:ascii="Arial" w:eastAsia="Arial" w:hAnsi="Arial" w:cs="Arial"/>
                <w:sz w:val="24"/>
                <w:szCs w:val="24"/>
              </w:rPr>
              <w:t xml:space="preserve">(dotyczący </w:t>
            </w:r>
            <w:r>
              <w:rPr>
                <w:rFonts w:ascii="Arial" w:eastAsia="Arial" w:hAnsi="Arial" w:cs="Arial"/>
                <w:sz w:val="24"/>
                <w:szCs w:val="24"/>
              </w:rPr>
              <w:t xml:space="preserve">§ 12 </w:t>
            </w:r>
            <w:r>
              <w:rPr>
                <w:rFonts w:ascii="Arial" w:eastAsia="Arial" w:hAnsi="Arial" w:cs="Arial"/>
                <w:sz w:val="24"/>
                <w:szCs w:val="24"/>
              </w:rPr>
              <w:br/>
              <w:t>ust. 11 rozporządzenia)</w:t>
            </w:r>
          </w:p>
        </w:tc>
        <w:tc>
          <w:tcPr>
            <w:tcW w:w="5085" w:type="dxa"/>
          </w:tcPr>
          <w:p w14:paraId="25F2618D" w14:textId="6C1A62FA"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Obecnie budynki produkcyjne i magazynowe muszą spełniać bardzo restrykcyjne normy emisyjne, w tym także dotyczące zapewnienia zgodności z przepisami regulującymi kwestie hałasu i zanieczyszczeń. Z naszego doświadczenia wynika, że zdecydowanie bardziej uciążliwe niż sąsiedztwo budynku produkcyjnego bądź magazynowego, może stanowić dla </w:t>
            </w:r>
            <w:r>
              <w:rPr>
                <w:rFonts w:ascii="Arial" w:eastAsia="Arial" w:hAnsi="Arial" w:cs="Arial"/>
                <w:sz w:val="24"/>
                <w:szCs w:val="24"/>
              </w:rPr>
              <w:lastRenderedPageBreak/>
              <w:t xml:space="preserve">zabudowy mieszkaniowej bliskie sąsiedztwo wewnętrznej drogi przeznaczonej dla komunikacji przez ciężarówki na terenie produkcyjnym czy magazynowym, zewnętrznego placu składowego, czy też miejsca przeładunku towarów. Przepis nakazujący zwiększenie odległości </w:t>
            </w:r>
            <w:r>
              <w:rPr>
                <w:rFonts w:ascii="Arial" w:eastAsia="Arial" w:hAnsi="Arial" w:cs="Arial"/>
                <w:sz w:val="24"/>
                <w:szCs w:val="24"/>
              </w:rPr>
              <w:br/>
              <w:t>budynku produkcyjnego lub magazynowego o powierzchni zabudowy przekraczającej 1000 m</w:t>
            </w:r>
            <w:r w:rsidRPr="00B11263">
              <w:rPr>
                <w:rFonts w:ascii="Arial" w:eastAsia="Arial" w:hAnsi="Arial" w:cs="Arial"/>
                <w:sz w:val="24"/>
                <w:szCs w:val="24"/>
                <w:vertAlign w:val="superscript"/>
              </w:rPr>
              <w:t>2</w:t>
            </w:r>
            <w:r>
              <w:rPr>
                <w:rFonts w:ascii="Arial" w:eastAsia="Arial" w:hAnsi="Arial" w:cs="Arial"/>
                <w:sz w:val="24"/>
                <w:szCs w:val="24"/>
              </w:rPr>
              <w:t xml:space="preserve"> od budynków mieszkalnych aż </w:t>
            </w:r>
            <w:r>
              <w:rPr>
                <w:rFonts w:ascii="Arial" w:eastAsia="Arial" w:hAnsi="Arial" w:cs="Arial"/>
                <w:sz w:val="24"/>
                <w:szCs w:val="24"/>
              </w:rPr>
              <w:br/>
              <w:t xml:space="preserve">o 30 m, będzie zachęcał do sytuowania </w:t>
            </w:r>
            <w:r>
              <w:rPr>
                <w:rFonts w:ascii="Arial" w:eastAsia="Arial" w:hAnsi="Arial" w:cs="Arial"/>
                <w:sz w:val="24"/>
                <w:szCs w:val="24"/>
              </w:rPr>
              <w:br/>
              <w:t xml:space="preserve">dróg manewrowych, zewnętrznych składów, placów przeładunkowych i innych elementów niekubaturowych związanych z produkcją, magazynowaniem i logistyką, właśnie bliżej zabudowań mieszkaniowych, tak aby przeznaczyć na działce jeszcze odpowiednie miejsce na lokalizację budynku. Tym samym przedstawiona propozycja zamiast zwiększać komfort mieszkania potencjalnie może go obniżać. Projektowana zmiana może także </w:t>
            </w:r>
            <w:r>
              <w:rPr>
                <w:rFonts w:ascii="Arial" w:eastAsia="Arial" w:hAnsi="Arial" w:cs="Arial"/>
                <w:sz w:val="24"/>
                <w:szCs w:val="24"/>
              </w:rPr>
              <w:lastRenderedPageBreak/>
              <w:t xml:space="preserve">utrudnić rozwój nowoczesnych klastrów wysokich technologii, w tym przemysłu 4.0 </w:t>
            </w:r>
            <w:r>
              <w:rPr>
                <w:rFonts w:ascii="Arial" w:eastAsia="Arial" w:hAnsi="Arial" w:cs="Arial"/>
                <w:sz w:val="24"/>
                <w:szCs w:val="24"/>
              </w:rPr>
              <w:br/>
              <w:t>w ramach reindustrializacji i podnoszenia konkurencyjności miast, na terenach, na których zabudowa mieszkaniowa i czysta nowoczesna produkcja wysokich technologii występują na sąsiadujących ze sobą terenach, w myśl koncepcji urbanistycznej tzw. Productive City.</w:t>
            </w:r>
          </w:p>
        </w:tc>
        <w:tc>
          <w:tcPr>
            <w:tcW w:w="2895" w:type="dxa"/>
          </w:tcPr>
          <w:p w14:paraId="5E952927" w14:textId="0A9D53BE"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lastRenderedPageBreak/>
              <w:t>Proponujemy usunięcie wprowadzonych zapisów § 12 ust. 11 rozporządzenia.</w:t>
            </w:r>
          </w:p>
        </w:tc>
      </w:tr>
      <w:tr w:rsidR="00E672D2" w14:paraId="0BD92F18" w14:textId="77777777">
        <w:trPr>
          <w:trHeight w:val="695"/>
        </w:trPr>
        <w:tc>
          <w:tcPr>
            <w:tcW w:w="1005" w:type="dxa"/>
          </w:tcPr>
          <w:p w14:paraId="2BAED4BA" w14:textId="4B53F141" w:rsidR="00E672D2" w:rsidRDefault="00DA5387"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lastRenderedPageBreak/>
              <w:t>6.</w:t>
            </w:r>
          </w:p>
        </w:tc>
        <w:tc>
          <w:tcPr>
            <w:tcW w:w="2940" w:type="dxa"/>
          </w:tcPr>
          <w:p w14:paraId="6D23A116" w14:textId="77777777" w:rsidR="00E672D2" w:rsidRDefault="00E672D2" w:rsidP="00E672D2">
            <w:pPr>
              <w:spacing w:before="240" w:line="360" w:lineRule="auto"/>
              <w:rPr>
                <w:rFonts w:ascii="Arial" w:eastAsia="Arial" w:hAnsi="Arial" w:cs="Arial"/>
                <w:color w:val="000000"/>
                <w:sz w:val="24"/>
                <w:szCs w:val="24"/>
              </w:rPr>
            </w:pPr>
            <w:r>
              <w:rPr>
                <w:rFonts w:ascii="Arial" w:eastAsia="Arial" w:hAnsi="Arial" w:cs="Arial"/>
                <w:sz w:val="24"/>
                <w:szCs w:val="24"/>
              </w:rPr>
              <w:t>Komitet ds. Nieruchomości Krajowej Izby Gospodarczej</w:t>
            </w:r>
          </w:p>
        </w:tc>
        <w:tc>
          <w:tcPr>
            <w:tcW w:w="2550" w:type="dxa"/>
          </w:tcPr>
          <w:p w14:paraId="0AE7A7B5" w14:textId="3844D6D1"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sidRPr="00F23CC2">
              <w:rPr>
                <w:rFonts w:ascii="Arial" w:eastAsia="Arial" w:hAnsi="Arial" w:cs="Arial"/>
                <w:sz w:val="24"/>
                <w:szCs w:val="24"/>
              </w:rPr>
              <w:t xml:space="preserve">§ 1 pkt </w:t>
            </w:r>
            <w:r>
              <w:rPr>
                <w:rFonts w:ascii="Arial" w:eastAsia="Arial" w:hAnsi="Arial" w:cs="Arial"/>
                <w:sz w:val="24"/>
                <w:szCs w:val="24"/>
              </w:rPr>
              <w:t>4</w:t>
            </w:r>
            <w:r w:rsidRPr="00F23CC2">
              <w:rPr>
                <w:rFonts w:ascii="Arial" w:eastAsia="Arial" w:hAnsi="Arial" w:cs="Arial"/>
                <w:sz w:val="24"/>
                <w:szCs w:val="24"/>
              </w:rPr>
              <w:t xml:space="preserve">) projektu </w:t>
            </w:r>
            <w:r>
              <w:rPr>
                <w:rFonts w:ascii="Arial" w:eastAsia="Arial" w:hAnsi="Arial" w:cs="Arial"/>
                <w:sz w:val="24"/>
                <w:szCs w:val="24"/>
              </w:rPr>
              <w:t xml:space="preserve">(dotyczący § 39 </w:t>
            </w:r>
            <w:r>
              <w:rPr>
                <w:rFonts w:ascii="Arial" w:eastAsia="Arial" w:hAnsi="Arial" w:cs="Arial"/>
                <w:sz w:val="24"/>
                <w:szCs w:val="24"/>
              </w:rPr>
              <w:br/>
              <w:t>ust. 2 rozporządzenia)</w:t>
            </w:r>
          </w:p>
        </w:tc>
        <w:tc>
          <w:tcPr>
            <w:tcW w:w="5085" w:type="dxa"/>
          </w:tcPr>
          <w:p w14:paraId="74196EA4" w14:textId="2F7CFA16"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t xml:space="preserve">Sformułowanie „jeżeli wyższy procent nie wynika z ustaleń miejscowego planu zagospodarowania przestrzennego” powoduje unieważnienie ustalenia obowiązujących miejscowych planów zagospodarowania przestrzennego, </w:t>
            </w:r>
            <w:r>
              <w:rPr>
                <w:rFonts w:ascii="Arial" w:eastAsia="Arial" w:hAnsi="Arial" w:cs="Arial"/>
                <w:sz w:val="24"/>
                <w:szCs w:val="24"/>
              </w:rPr>
              <w:br/>
              <w:t>które ustalają minimalny udział powierzchni biologicznie czynnej na poziomie niższym niż 20%. Zdaniem Komitetu ds. Nieruchomości jest to niedopuszczalna ingerencja ustawowa w akt prawa miejscowego.</w:t>
            </w:r>
          </w:p>
        </w:tc>
        <w:tc>
          <w:tcPr>
            <w:tcW w:w="2895" w:type="dxa"/>
          </w:tcPr>
          <w:p w14:paraId="0EB68A02" w14:textId="699C33A7"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t>Proponujemy zmianę sformułowania analogiczną do zapisu zastosowanego w § 39 ust. 1 rozporządzenia, tj. „jeżeli inny procent nie wynika z ustaleń miejscowego planu zagospodarowania przestrzennego”.</w:t>
            </w:r>
          </w:p>
        </w:tc>
      </w:tr>
      <w:tr w:rsidR="00E672D2" w14:paraId="22264FB6" w14:textId="77777777">
        <w:trPr>
          <w:trHeight w:val="711"/>
        </w:trPr>
        <w:tc>
          <w:tcPr>
            <w:tcW w:w="1005" w:type="dxa"/>
          </w:tcPr>
          <w:p w14:paraId="30D63672" w14:textId="635C21A7" w:rsidR="00E672D2" w:rsidRDefault="00DA5387"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color w:val="000000"/>
                <w:sz w:val="24"/>
                <w:szCs w:val="24"/>
              </w:rPr>
              <w:lastRenderedPageBreak/>
              <w:t>7.</w:t>
            </w:r>
          </w:p>
        </w:tc>
        <w:tc>
          <w:tcPr>
            <w:tcW w:w="2940" w:type="dxa"/>
          </w:tcPr>
          <w:p w14:paraId="24F38C5B" w14:textId="77777777" w:rsidR="00E672D2" w:rsidRDefault="00E672D2" w:rsidP="00E672D2">
            <w:pPr>
              <w:spacing w:before="240" w:line="360" w:lineRule="auto"/>
              <w:rPr>
                <w:rFonts w:ascii="Arial" w:eastAsia="Arial" w:hAnsi="Arial" w:cs="Arial"/>
                <w:color w:val="000000"/>
                <w:sz w:val="24"/>
                <w:szCs w:val="24"/>
              </w:rPr>
            </w:pPr>
            <w:r>
              <w:rPr>
                <w:rFonts w:ascii="Arial" w:eastAsia="Arial" w:hAnsi="Arial" w:cs="Arial"/>
                <w:sz w:val="24"/>
                <w:szCs w:val="24"/>
              </w:rPr>
              <w:t>Komitet ds. Nieruchomości Krajowej Izby Gospodarczej</w:t>
            </w:r>
          </w:p>
        </w:tc>
        <w:tc>
          <w:tcPr>
            <w:tcW w:w="2550" w:type="dxa"/>
          </w:tcPr>
          <w:p w14:paraId="2E5C49D7" w14:textId="40C6B404" w:rsidR="00E672D2"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sidRPr="00CE5882">
              <w:rPr>
                <w:rFonts w:ascii="Arial" w:eastAsia="Arial" w:hAnsi="Arial" w:cs="Arial"/>
                <w:sz w:val="24"/>
                <w:szCs w:val="24"/>
              </w:rPr>
              <w:t xml:space="preserve">§ 1 pkt </w:t>
            </w:r>
            <w:r>
              <w:rPr>
                <w:rFonts w:ascii="Arial" w:eastAsia="Arial" w:hAnsi="Arial" w:cs="Arial"/>
                <w:sz w:val="24"/>
                <w:szCs w:val="24"/>
              </w:rPr>
              <w:t>4</w:t>
            </w:r>
            <w:r w:rsidRPr="00CE5882">
              <w:rPr>
                <w:rFonts w:ascii="Arial" w:eastAsia="Arial" w:hAnsi="Arial" w:cs="Arial"/>
                <w:sz w:val="24"/>
                <w:szCs w:val="24"/>
              </w:rPr>
              <w:t xml:space="preserve">) projektu </w:t>
            </w:r>
            <w:r>
              <w:rPr>
                <w:rFonts w:ascii="Arial" w:eastAsia="Arial" w:hAnsi="Arial" w:cs="Arial"/>
                <w:sz w:val="24"/>
                <w:szCs w:val="24"/>
              </w:rPr>
              <w:t xml:space="preserve">(dotyczący § 40 </w:t>
            </w:r>
            <w:r>
              <w:rPr>
                <w:rFonts w:ascii="Arial" w:eastAsia="Arial" w:hAnsi="Arial" w:cs="Arial"/>
                <w:sz w:val="24"/>
                <w:szCs w:val="24"/>
              </w:rPr>
              <w:br/>
              <w:t>ust. 5 i 6 rozporządzenia)</w:t>
            </w:r>
          </w:p>
        </w:tc>
        <w:tc>
          <w:tcPr>
            <w:tcW w:w="5085" w:type="dxa"/>
          </w:tcPr>
          <w:p w14:paraId="5A15AF56" w14:textId="480E3444" w:rsidR="00E672D2" w:rsidRPr="008C4475" w:rsidRDefault="00E672D2" w:rsidP="00E672D2">
            <w:pPr>
              <w:pBdr>
                <w:top w:val="nil"/>
                <w:left w:val="nil"/>
                <w:bottom w:val="nil"/>
                <w:right w:val="nil"/>
                <w:between w:val="nil"/>
              </w:pBdr>
              <w:spacing w:before="240" w:line="360" w:lineRule="auto"/>
              <w:rPr>
                <w:rFonts w:ascii="Arial" w:eastAsia="Arial" w:hAnsi="Arial" w:cs="Arial"/>
                <w:color w:val="000000"/>
                <w:sz w:val="24"/>
                <w:szCs w:val="24"/>
              </w:rPr>
            </w:pPr>
            <w:r>
              <w:rPr>
                <w:rFonts w:ascii="Arial" w:eastAsia="Arial" w:hAnsi="Arial" w:cs="Arial"/>
                <w:sz w:val="24"/>
                <w:szCs w:val="24"/>
              </w:rPr>
              <w:t xml:space="preserve">Opierając się o posiadane doświadczenie </w:t>
            </w:r>
            <w:r>
              <w:rPr>
                <w:rFonts w:ascii="Arial" w:eastAsia="Arial" w:hAnsi="Arial" w:cs="Arial"/>
                <w:sz w:val="24"/>
                <w:szCs w:val="24"/>
              </w:rPr>
              <w:br/>
              <w:t xml:space="preserve">w budownictwie zauważamy, że nie każdy plac zabaw powinien być ogrodzony. Wynika to przede wszystkim z kontekstu jego lokalizacji (np. położenia w parku lub innym terenie otwartym). Projektowany przepis słusznie wskazuje kontekst, w którym ogrodzenie jest konieczne: „Ogrodzenie </w:t>
            </w:r>
            <w:r w:rsidRPr="00EF1B81">
              <w:rPr>
                <w:rFonts w:ascii="Arial" w:eastAsia="Arial" w:hAnsi="Arial" w:cs="Arial"/>
                <w:sz w:val="24"/>
                <w:szCs w:val="24"/>
              </w:rPr>
              <w:t xml:space="preserve">placu zabaw dla dzieci </w:t>
            </w:r>
            <w:r>
              <w:rPr>
                <w:rFonts w:ascii="Arial" w:eastAsia="Arial" w:hAnsi="Arial" w:cs="Arial"/>
                <w:sz w:val="24"/>
                <w:szCs w:val="24"/>
              </w:rPr>
              <w:t xml:space="preserve">od strony drogi, ulicy, parkingu lub ciągu pieszo-jezdnego wykonuje się z materiałów i w sposób zapewniający bezpieczeństwo ludziom i zwierzętom”. </w:t>
            </w:r>
            <w:r>
              <w:rPr>
                <w:rFonts w:ascii="Arial" w:eastAsia="Arial" w:hAnsi="Arial" w:cs="Arial"/>
                <w:sz w:val="24"/>
                <w:szCs w:val="24"/>
              </w:rPr>
              <w:br/>
              <w:t xml:space="preserve">Co z kolei sugeruje, że ogrodzenie powinno zapewniać bezpieczeństwo wyłącznie od wskazanych stron. Ponadto, zapis może </w:t>
            </w:r>
            <w:r>
              <w:rPr>
                <w:rFonts w:ascii="Arial" w:eastAsia="Arial" w:hAnsi="Arial" w:cs="Arial"/>
                <w:sz w:val="24"/>
                <w:szCs w:val="24"/>
              </w:rPr>
              <w:br/>
              <w:t>być generatorem przestrzeni, w których ogrodzony plac zabaw zlokalizowany jest wewnątrz ogrodzonego terenu.</w:t>
            </w:r>
            <w:r>
              <w:rPr>
                <w:rFonts w:ascii="Arial" w:eastAsia="Arial" w:hAnsi="Arial" w:cs="Arial"/>
                <w:color w:val="FF0000"/>
                <w:sz w:val="24"/>
                <w:szCs w:val="24"/>
              </w:rPr>
              <w:t xml:space="preserve"> </w:t>
            </w:r>
          </w:p>
        </w:tc>
        <w:tc>
          <w:tcPr>
            <w:tcW w:w="2895" w:type="dxa"/>
          </w:tcPr>
          <w:p w14:paraId="00A3ACBC" w14:textId="1323F237"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Proponujemy zmianę zapisu na „plac zabaw powinien być ogrodzony od strony drogi, ulicy, parkingu lub ciągu pieszo-jezdnego ogrodzeniem wykonanym </w:t>
            </w:r>
            <w:r>
              <w:rPr>
                <w:rFonts w:ascii="Arial" w:eastAsia="Arial" w:hAnsi="Arial" w:cs="Arial"/>
                <w:sz w:val="24"/>
                <w:szCs w:val="24"/>
              </w:rPr>
              <w:br/>
              <w:t xml:space="preserve">z materiałów </w:t>
            </w:r>
            <w:r>
              <w:rPr>
                <w:rFonts w:ascii="Arial" w:eastAsia="Arial" w:hAnsi="Arial" w:cs="Arial"/>
                <w:sz w:val="24"/>
                <w:szCs w:val="24"/>
              </w:rPr>
              <w:br/>
              <w:t>i w sposób zapewniający bezpieczeństwo ludziom i zwierzętom.”.</w:t>
            </w:r>
          </w:p>
        </w:tc>
      </w:tr>
      <w:tr w:rsidR="00E672D2" w14:paraId="0FCFA48D" w14:textId="77777777">
        <w:trPr>
          <w:trHeight w:val="711"/>
        </w:trPr>
        <w:tc>
          <w:tcPr>
            <w:tcW w:w="1005" w:type="dxa"/>
          </w:tcPr>
          <w:p w14:paraId="32CCC16D" w14:textId="650FF1B5"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8.</w:t>
            </w:r>
          </w:p>
        </w:tc>
        <w:tc>
          <w:tcPr>
            <w:tcW w:w="2940" w:type="dxa"/>
          </w:tcPr>
          <w:p w14:paraId="74253C70"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 xml:space="preserve">Komitet ds. Nieruchomości Krajowej Izby Gospodarczej </w:t>
            </w:r>
          </w:p>
        </w:tc>
        <w:tc>
          <w:tcPr>
            <w:tcW w:w="2550" w:type="dxa"/>
          </w:tcPr>
          <w:p w14:paraId="538C81F8" w14:textId="2FB8A2C4" w:rsidR="00E672D2" w:rsidRDefault="00E672D2" w:rsidP="00E672D2">
            <w:pPr>
              <w:spacing w:before="240" w:line="360" w:lineRule="auto"/>
              <w:rPr>
                <w:rFonts w:ascii="Arial" w:eastAsia="Arial" w:hAnsi="Arial" w:cs="Arial"/>
                <w:sz w:val="24"/>
                <w:szCs w:val="24"/>
              </w:rPr>
            </w:pPr>
            <w:r w:rsidRPr="00E0061A">
              <w:rPr>
                <w:rFonts w:ascii="Arial" w:eastAsia="Arial" w:hAnsi="Arial" w:cs="Arial"/>
                <w:sz w:val="24"/>
                <w:szCs w:val="24"/>
              </w:rPr>
              <w:t xml:space="preserve">§ 1 pkt </w:t>
            </w:r>
            <w:r>
              <w:rPr>
                <w:rFonts w:ascii="Arial" w:eastAsia="Arial" w:hAnsi="Arial" w:cs="Arial"/>
                <w:sz w:val="24"/>
                <w:szCs w:val="24"/>
              </w:rPr>
              <w:t>4</w:t>
            </w:r>
            <w:r w:rsidRPr="00E0061A">
              <w:rPr>
                <w:rFonts w:ascii="Arial" w:eastAsia="Arial" w:hAnsi="Arial" w:cs="Arial"/>
                <w:sz w:val="24"/>
                <w:szCs w:val="24"/>
              </w:rPr>
              <w:t xml:space="preserve">) projektu </w:t>
            </w:r>
            <w:r>
              <w:rPr>
                <w:rFonts w:ascii="Arial" w:eastAsia="Arial" w:hAnsi="Arial" w:cs="Arial"/>
                <w:sz w:val="24"/>
                <w:szCs w:val="24"/>
              </w:rPr>
              <w:t xml:space="preserve">(dotyczący § 40 </w:t>
            </w:r>
            <w:r>
              <w:rPr>
                <w:rFonts w:ascii="Arial" w:eastAsia="Arial" w:hAnsi="Arial" w:cs="Arial"/>
                <w:sz w:val="24"/>
                <w:szCs w:val="24"/>
              </w:rPr>
              <w:br/>
              <w:t>ust. 8 pkt 1 i ust. 9 rozporządzenia)</w:t>
            </w:r>
          </w:p>
        </w:tc>
        <w:tc>
          <w:tcPr>
            <w:tcW w:w="5085" w:type="dxa"/>
          </w:tcPr>
          <w:p w14:paraId="7ECEA64D" w14:textId="6F5DAB88" w:rsidR="00E672D2" w:rsidRPr="003D018A" w:rsidRDefault="00E672D2" w:rsidP="00E672D2">
            <w:pPr>
              <w:pBdr>
                <w:top w:val="nil"/>
                <w:left w:val="nil"/>
                <w:bottom w:val="nil"/>
                <w:right w:val="nil"/>
                <w:between w:val="nil"/>
              </w:pBdr>
              <w:spacing w:before="240" w:line="360" w:lineRule="auto"/>
              <w:rPr>
                <w:rFonts w:ascii="Arial" w:eastAsia="Arial" w:hAnsi="Arial" w:cs="Arial"/>
                <w:sz w:val="24"/>
                <w:szCs w:val="24"/>
              </w:rPr>
            </w:pPr>
            <w:r w:rsidRPr="003D018A">
              <w:rPr>
                <w:rFonts w:ascii="Arial" w:eastAsia="Arial" w:hAnsi="Arial" w:cs="Arial"/>
                <w:sz w:val="24"/>
                <w:szCs w:val="24"/>
              </w:rPr>
              <w:t xml:space="preserve">W § 40 ust. 8 Ustawodawca zdecydował się wprowadzić minimalną powierzchnię placu zabaw dla dzieci, która w przypadku gdy </w:t>
            </w:r>
            <w:r w:rsidRPr="003D018A">
              <w:rPr>
                <w:rFonts w:ascii="Arial" w:eastAsia="Arial" w:hAnsi="Arial" w:cs="Arial"/>
                <w:sz w:val="24"/>
                <w:szCs w:val="24"/>
              </w:rPr>
              <w:br/>
              <w:t>w budynku lub zespole budynków znajduje się od 21 do 50 mieszkań, wynosi co najmniej 1 m</w:t>
            </w:r>
            <w:r w:rsidRPr="00B11263">
              <w:rPr>
                <w:rFonts w:ascii="Arial" w:eastAsia="Arial" w:hAnsi="Arial" w:cs="Arial"/>
                <w:sz w:val="24"/>
                <w:szCs w:val="24"/>
                <w:vertAlign w:val="superscript"/>
              </w:rPr>
              <w:t>2</w:t>
            </w:r>
            <w:r w:rsidRPr="003D018A">
              <w:rPr>
                <w:rFonts w:ascii="Arial" w:eastAsia="Arial" w:hAnsi="Arial" w:cs="Arial"/>
                <w:sz w:val="24"/>
                <w:szCs w:val="24"/>
              </w:rPr>
              <w:t xml:space="preserve"> na każde mieszkanie. </w:t>
            </w:r>
            <w:r w:rsidRPr="003D018A">
              <w:rPr>
                <w:rFonts w:ascii="Arial" w:eastAsia="Arial" w:hAnsi="Arial" w:cs="Arial"/>
                <w:sz w:val="24"/>
                <w:szCs w:val="24"/>
              </w:rPr>
              <w:br/>
              <w:t>W opisanej sytuacji powierzchnia takiego placu zabaw może zatem wynieść od 21 m</w:t>
            </w:r>
            <w:r w:rsidRPr="00B11263">
              <w:rPr>
                <w:rFonts w:ascii="Arial" w:eastAsia="Arial" w:hAnsi="Arial" w:cs="Arial"/>
                <w:sz w:val="24"/>
                <w:szCs w:val="24"/>
                <w:vertAlign w:val="superscript"/>
              </w:rPr>
              <w:t>2</w:t>
            </w:r>
            <w:r w:rsidRPr="003D018A">
              <w:rPr>
                <w:rFonts w:ascii="Arial" w:eastAsia="Arial" w:hAnsi="Arial" w:cs="Arial"/>
                <w:sz w:val="24"/>
                <w:szCs w:val="24"/>
              </w:rPr>
              <w:t xml:space="preserve"> do 50 m</w:t>
            </w:r>
            <w:r w:rsidRPr="00B11263">
              <w:rPr>
                <w:rFonts w:ascii="Arial" w:eastAsia="Arial" w:hAnsi="Arial" w:cs="Arial"/>
                <w:sz w:val="24"/>
                <w:szCs w:val="24"/>
                <w:vertAlign w:val="superscript"/>
              </w:rPr>
              <w:t>2</w:t>
            </w:r>
            <w:r w:rsidRPr="003D018A">
              <w:rPr>
                <w:rFonts w:ascii="Arial" w:eastAsia="Arial" w:hAnsi="Arial" w:cs="Arial"/>
                <w:sz w:val="24"/>
                <w:szCs w:val="24"/>
              </w:rPr>
              <w:t xml:space="preserve">. Tymczasem w ust. 9 dopuszczono podział placu zabaw dla dzieci na części, przy czym minimalna powierzchnia każdej </w:t>
            </w:r>
            <w:r w:rsidRPr="003D018A">
              <w:rPr>
                <w:rFonts w:ascii="Arial" w:eastAsia="Arial" w:hAnsi="Arial" w:cs="Arial"/>
                <w:sz w:val="24"/>
                <w:szCs w:val="24"/>
              </w:rPr>
              <w:br/>
              <w:t>z nich miałaby wynosić 50 m</w:t>
            </w:r>
            <w:r w:rsidRPr="00B11263">
              <w:rPr>
                <w:rFonts w:ascii="Arial" w:eastAsia="Arial" w:hAnsi="Arial" w:cs="Arial"/>
                <w:sz w:val="24"/>
                <w:szCs w:val="24"/>
                <w:vertAlign w:val="subscript"/>
              </w:rPr>
              <w:t>2</w:t>
            </w:r>
            <w:r w:rsidRPr="003D018A">
              <w:rPr>
                <w:rFonts w:ascii="Arial" w:eastAsia="Arial" w:hAnsi="Arial" w:cs="Arial"/>
                <w:sz w:val="24"/>
                <w:szCs w:val="24"/>
              </w:rPr>
              <w:t xml:space="preserve">, co w praktyce może budzić istotne wątpliwości co do faktycznej minimalnej powierzchni projektowanego placu zabaw oraz możliwości podziału placu zabaw dla minimalnej ilości mieszkań, o których mowa w ww. przepisie. Ponadto rozważenia wymaga propozycja Komitetu dotycząca zmniejszenia minimalnej powierzchni placu zabaw po podziale </w:t>
            </w:r>
            <w:r w:rsidRPr="003D018A">
              <w:rPr>
                <w:rFonts w:ascii="Arial" w:eastAsia="Arial" w:hAnsi="Arial" w:cs="Arial"/>
                <w:sz w:val="24"/>
                <w:szCs w:val="24"/>
              </w:rPr>
              <w:br/>
              <w:t>z 50 m</w:t>
            </w:r>
            <w:r w:rsidRPr="00B11263">
              <w:rPr>
                <w:rFonts w:ascii="Arial" w:eastAsia="Arial" w:hAnsi="Arial" w:cs="Arial"/>
                <w:sz w:val="24"/>
                <w:szCs w:val="24"/>
                <w:vertAlign w:val="superscript"/>
              </w:rPr>
              <w:t>2</w:t>
            </w:r>
            <w:r w:rsidRPr="003D018A">
              <w:rPr>
                <w:rFonts w:ascii="Arial" w:eastAsia="Arial" w:hAnsi="Arial" w:cs="Arial"/>
                <w:sz w:val="24"/>
                <w:szCs w:val="24"/>
              </w:rPr>
              <w:t xml:space="preserve"> proponowanych przez Autorów </w:t>
            </w:r>
            <w:r w:rsidRPr="003D018A">
              <w:rPr>
                <w:rFonts w:ascii="Arial" w:eastAsia="Arial" w:hAnsi="Arial" w:cs="Arial"/>
                <w:sz w:val="24"/>
                <w:szCs w:val="24"/>
              </w:rPr>
              <w:lastRenderedPageBreak/>
              <w:t>projektu do co najwyżej 20 m</w:t>
            </w:r>
            <w:r w:rsidRPr="00B11263">
              <w:rPr>
                <w:rFonts w:ascii="Arial" w:eastAsia="Arial" w:hAnsi="Arial" w:cs="Arial"/>
                <w:sz w:val="24"/>
                <w:szCs w:val="24"/>
                <w:vertAlign w:val="superscript"/>
              </w:rPr>
              <w:t>2</w:t>
            </w:r>
            <w:r w:rsidRPr="003D018A">
              <w:rPr>
                <w:rFonts w:ascii="Arial" w:eastAsia="Arial" w:hAnsi="Arial" w:cs="Arial"/>
                <w:sz w:val="24"/>
                <w:szCs w:val="24"/>
              </w:rPr>
              <w:t xml:space="preserve">, ze względu </w:t>
            </w:r>
            <w:r w:rsidRPr="003D018A">
              <w:rPr>
                <w:rFonts w:ascii="Arial" w:eastAsia="Arial" w:hAnsi="Arial" w:cs="Arial"/>
                <w:sz w:val="24"/>
                <w:szCs w:val="24"/>
              </w:rPr>
              <w:br/>
              <w:t xml:space="preserve">na istotne ryzyko zablokowania powstawania mniejszych inwestycji mieszkaniowych (przewidujących budowę od 21 do 50 lokali mieszkalnych). Z uwagi na konieczność wykonania przez inwestorów placów zabaw, których powierzchnia w rzeczywistości będzie nieadekwatna do skali i wielkości całej inwestycji, omawiana zmiana przyczyni </w:t>
            </w:r>
            <w:r w:rsidRPr="003D018A">
              <w:rPr>
                <w:rFonts w:ascii="Arial" w:eastAsia="Arial" w:hAnsi="Arial" w:cs="Arial"/>
                <w:sz w:val="24"/>
                <w:szCs w:val="24"/>
              </w:rPr>
              <w:br/>
              <w:t xml:space="preserve">się do zahamowania realizacji inwestycji mieszkaniowych. Zwracamy także uwagę, </w:t>
            </w:r>
            <w:r w:rsidRPr="003D018A">
              <w:rPr>
                <w:rFonts w:ascii="Arial" w:eastAsia="Arial" w:hAnsi="Arial" w:cs="Arial"/>
                <w:sz w:val="24"/>
                <w:szCs w:val="24"/>
              </w:rPr>
              <w:br/>
              <w:t>że nie każda gmina posiada tzw. zabudowę śródmiejską, dla której przewidziana jest mniej rygorystyczna regulacja w omawianym zakresie. Taki przykładem może być chociażby miasto Kraków.</w:t>
            </w:r>
          </w:p>
        </w:tc>
        <w:tc>
          <w:tcPr>
            <w:tcW w:w="2895" w:type="dxa"/>
          </w:tcPr>
          <w:p w14:paraId="58CEC7B1" w14:textId="4D4D8081"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 xml:space="preserve">Proponujemy zmianę przepisu polegającą na dostosowaniu </w:t>
            </w:r>
            <w:r w:rsidRPr="003D018A">
              <w:rPr>
                <w:rFonts w:ascii="Arial" w:eastAsia="Arial" w:hAnsi="Arial" w:cs="Arial"/>
                <w:sz w:val="24"/>
                <w:szCs w:val="24"/>
              </w:rPr>
              <w:t xml:space="preserve">§ 40 </w:t>
            </w:r>
            <w:r>
              <w:rPr>
                <w:rFonts w:ascii="Arial" w:eastAsia="Arial" w:hAnsi="Arial" w:cs="Arial"/>
                <w:sz w:val="24"/>
                <w:szCs w:val="24"/>
              </w:rPr>
              <w:t xml:space="preserve">ust. 9 do zapisów </w:t>
            </w:r>
            <w:r w:rsidRPr="003D018A">
              <w:rPr>
                <w:rFonts w:ascii="Arial" w:eastAsia="Arial" w:hAnsi="Arial" w:cs="Arial"/>
                <w:sz w:val="24"/>
                <w:szCs w:val="24"/>
              </w:rPr>
              <w:t xml:space="preserve">§ 40 </w:t>
            </w:r>
            <w:r>
              <w:rPr>
                <w:rFonts w:ascii="Arial" w:eastAsia="Arial" w:hAnsi="Arial" w:cs="Arial"/>
                <w:sz w:val="24"/>
                <w:szCs w:val="24"/>
              </w:rPr>
              <w:t xml:space="preserve">ust. 8 pkt 1, polegającą na precyzyjnym wskazaniu, czy minimalna powierzchnia placu zabaw przewidziana </w:t>
            </w:r>
            <w:r>
              <w:rPr>
                <w:rFonts w:ascii="Arial" w:eastAsia="Arial" w:hAnsi="Arial" w:cs="Arial"/>
                <w:sz w:val="24"/>
                <w:szCs w:val="24"/>
              </w:rPr>
              <w:br/>
              <w:t>dla 21 mieszkań może zostać podzielona na części lub ewentualnie: „Dopuszcza się podział placu zabaw dla dzieci na części, przy czym minimalna powierzchnia każdej z nich wynosi co najmniej 20 m</w:t>
            </w:r>
            <w:r w:rsidRPr="00B11263">
              <w:rPr>
                <w:rFonts w:ascii="Arial" w:eastAsia="Arial" w:hAnsi="Arial" w:cs="Arial"/>
                <w:sz w:val="24"/>
                <w:szCs w:val="24"/>
                <w:vertAlign w:val="superscript"/>
              </w:rPr>
              <w:t>2</w:t>
            </w:r>
            <w:r>
              <w:rPr>
                <w:rFonts w:ascii="Arial" w:eastAsia="Arial" w:hAnsi="Arial" w:cs="Arial"/>
                <w:sz w:val="24"/>
                <w:szCs w:val="24"/>
              </w:rPr>
              <w:t>”.</w:t>
            </w:r>
          </w:p>
        </w:tc>
      </w:tr>
      <w:tr w:rsidR="00E672D2" w14:paraId="3CBCD10A" w14:textId="77777777">
        <w:trPr>
          <w:trHeight w:val="711"/>
        </w:trPr>
        <w:tc>
          <w:tcPr>
            <w:tcW w:w="1005" w:type="dxa"/>
          </w:tcPr>
          <w:p w14:paraId="2BE86122" w14:textId="3147BBAB"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9.</w:t>
            </w:r>
          </w:p>
        </w:tc>
        <w:tc>
          <w:tcPr>
            <w:tcW w:w="2940" w:type="dxa"/>
          </w:tcPr>
          <w:p w14:paraId="0CE319C4"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7F602175" w14:textId="27F74AB1" w:rsidR="00E672D2" w:rsidRDefault="00E672D2" w:rsidP="00E672D2">
            <w:pPr>
              <w:spacing w:before="240" w:line="360" w:lineRule="auto"/>
              <w:rPr>
                <w:rFonts w:ascii="Arial" w:eastAsia="Arial" w:hAnsi="Arial" w:cs="Arial"/>
                <w:sz w:val="24"/>
                <w:szCs w:val="24"/>
              </w:rPr>
            </w:pPr>
            <w:r w:rsidRPr="00BA1B2D">
              <w:rPr>
                <w:rFonts w:ascii="Arial" w:eastAsia="Arial" w:hAnsi="Arial" w:cs="Arial"/>
                <w:sz w:val="24"/>
                <w:szCs w:val="24"/>
              </w:rPr>
              <w:t xml:space="preserve">§ 1 pkt </w:t>
            </w:r>
            <w:r>
              <w:rPr>
                <w:rFonts w:ascii="Arial" w:eastAsia="Arial" w:hAnsi="Arial" w:cs="Arial"/>
                <w:sz w:val="24"/>
                <w:szCs w:val="24"/>
              </w:rPr>
              <w:t>4</w:t>
            </w:r>
            <w:r w:rsidRPr="00BA1B2D">
              <w:rPr>
                <w:rFonts w:ascii="Arial" w:eastAsia="Arial" w:hAnsi="Arial" w:cs="Arial"/>
                <w:sz w:val="24"/>
                <w:szCs w:val="24"/>
              </w:rPr>
              <w:t xml:space="preserve">) projektu </w:t>
            </w:r>
            <w:r>
              <w:rPr>
                <w:rFonts w:ascii="Arial" w:eastAsia="Arial" w:hAnsi="Arial" w:cs="Arial"/>
                <w:sz w:val="24"/>
                <w:szCs w:val="24"/>
              </w:rPr>
              <w:t xml:space="preserve">(dotyczący § 40 </w:t>
            </w:r>
            <w:r>
              <w:rPr>
                <w:rFonts w:ascii="Arial" w:eastAsia="Arial" w:hAnsi="Arial" w:cs="Arial"/>
                <w:sz w:val="24"/>
                <w:szCs w:val="24"/>
              </w:rPr>
              <w:br/>
              <w:t>ust. 12 rozporządzenia)</w:t>
            </w:r>
          </w:p>
        </w:tc>
        <w:tc>
          <w:tcPr>
            <w:tcW w:w="5085" w:type="dxa"/>
          </w:tcPr>
          <w:p w14:paraId="25F07A9E" w14:textId="75FE7831" w:rsidR="00E672D2" w:rsidRPr="003D018A" w:rsidRDefault="00E672D2" w:rsidP="00E672D2">
            <w:pPr>
              <w:pBdr>
                <w:top w:val="nil"/>
                <w:left w:val="nil"/>
                <w:bottom w:val="nil"/>
                <w:right w:val="nil"/>
                <w:between w:val="nil"/>
              </w:pBdr>
              <w:spacing w:before="240" w:line="360" w:lineRule="auto"/>
              <w:rPr>
                <w:rFonts w:ascii="Arial" w:eastAsia="Arial" w:hAnsi="Arial" w:cs="Arial"/>
                <w:sz w:val="24"/>
                <w:szCs w:val="24"/>
              </w:rPr>
            </w:pPr>
            <w:r w:rsidRPr="003D018A">
              <w:rPr>
                <w:rFonts w:ascii="Arial" w:eastAsia="Arial" w:hAnsi="Arial" w:cs="Arial"/>
                <w:sz w:val="24"/>
                <w:szCs w:val="24"/>
              </w:rPr>
              <w:t xml:space="preserve">Propozycja uniemożliwia wykonanie placu zabaw na podwórku zlokalizowanym powyżej wysokiej kondygnacji usługowego parteru, co jest możliwe szczególnie przy zastosowaniu grubszej warstwy substratu pozwalającej na </w:t>
            </w:r>
            <w:r w:rsidRPr="003D018A">
              <w:rPr>
                <w:rFonts w:ascii="Arial" w:eastAsia="Arial" w:hAnsi="Arial" w:cs="Arial"/>
                <w:sz w:val="24"/>
                <w:szCs w:val="24"/>
              </w:rPr>
              <w:lastRenderedPageBreak/>
              <w:t xml:space="preserve">posadzenie drzew w przestrzeni podwórka mieszkaniowego. Takie rozwiązania są już powszechnie stosowane w dużych miastach europejskich oraz w centralnych rejonach miast, dzięki czemu możliwe jest przeznaczenie całego (lub większości) parteru na usługi, większe sklepy spożywcze, lokale handlowe i gastronomiczne itp. Możliwości te ostatecznie przekładają </w:t>
            </w:r>
            <w:r>
              <w:rPr>
                <w:rFonts w:ascii="Arial" w:eastAsia="Arial" w:hAnsi="Arial" w:cs="Arial"/>
                <w:sz w:val="24"/>
                <w:szCs w:val="24"/>
              </w:rPr>
              <w:br/>
            </w:r>
            <w:r w:rsidRPr="003D018A">
              <w:rPr>
                <w:rFonts w:ascii="Arial" w:eastAsia="Arial" w:hAnsi="Arial" w:cs="Arial"/>
                <w:sz w:val="24"/>
                <w:szCs w:val="24"/>
              </w:rPr>
              <w:t xml:space="preserve">się na zwiększenie dostępu mieszkańców </w:t>
            </w:r>
            <w:r>
              <w:rPr>
                <w:rFonts w:ascii="Arial" w:eastAsia="Arial" w:hAnsi="Arial" w:cs="Arial"/>
                <w:sz w:val="24"/>
                <w:szCs w:val="24"/>
              </w:rPr>
              <w:br/>
            </w:r>
            <w:r w:rsidRPr="003D018A">
              <w:rPr>
                <w:rFonts w:ascii="Arial" w:eastAsia="Arial" w:hAnsi="Arial" w:cs="Arial"/>
                <w:sz w:val="24"/>
                <w:szCs w:val="24"/>
              </w:rPr>
              <w:t>do potrzebnych usług i sprzyja</w:t>
            </w:r>
            <w:r>
              <w:rPr>
                <w:rFonts w:ascii="Arial" w:eastAsia="Arial" w:hAnsi="Arial" w:cs="Arial"/>
                <w:sz w:val="24"/>
                <w:szCs w:val="24"/>
              </w:rPr>
              <w:t>ją</w:t>
            </w:r>
            <w:r w:rsidRPr="003D018A">
              <w:rPr>
                <w:rFonts w:ascii="Arial" w:eastAsia="Arial" w:hAnsi="Arial" w:cs="Arial"/>
                <w:sz w:val="24"/>
                <w:szCs w:val="24"/>
              </w:rPr>
              <w:t xml:space="preserve"> koncepcji </w:t>
            </w:r>
            <w:r>
              <w:rPr>
                <w:rFonts w:ascii="Arial" w:eastAsia="Arial" w:hAnsi="Arial" w:cs="Arial"/>
                <w:sz w:val="24"/>
                <w:szCs w:val="24"/>
              </w:rPr>
              <w:br/>
            </w:r>
            <w:r w:rsidRPr="003D018A">
              <w:rPr>
                <w:rFonts w:ascii="Arial" w:eastAsia="Arial" w:hAnsi="Arial" w:cs="Arial"/>
                <w:sz w:val="24"/>
                <w:szCs w:val="24"/>
              </w:rPr>
              <w:t xml:space="preserve">tzw. miasta 15-minutowego. Z użytkowego punktu widzenia nie ma właściwie znaczenia, </w:t>
            </w:r>
            <w:r>
              <w:rPr>
                <w:rFonts w:ascii="Arial" w:eastAsia="Arial" w:hAnsi="Arial" w:cs="Arial"/>
                <w:sz w:val="24"/>
                <w:szCs w:val="24"/>
              </w:rPr>
              <w:br/>
            </w:r>
            <w:r w:rsidRPr="003D018A">
              <w:rPr>
                <w:rFonts w:ascii="Arial" w:eastAsia="Arial" w:hAnsi="Arial" w:cs="Arial"/>
                <w:sz w:val="24"/>
                <w:szCs w:val="24"/>
              </w:rPr>
              <w:t xml:space="preserve">czy plac zabaw będzie zlokalizowany na tej, czy innej wysokości powyżej kondygnacji rozbudowanego parteru </w:t>
            </w:r>
            <w:r>
              <w:rPr>
                <w:rFonts w:ascii="Arial" w:eastAsia="Arial" w:hAnsi="Arial" w:cs="Arial"/>
                <w:sz w:val="24"/>
                <w:szCs w:val="24"/>
              </w:rPr>
              <w:t>–</w:t>
            </w:r>
            <w:r w:rsidRPr="003D018A">
              <w:rPr>
                <w:rFonts w:ascii="Arial" w:eastAsia="Arial" w:hAnsi="Arial" w:cs="Arial"/>
                <w:sz w:val="24"/>
                <w:szCs w:val="24"/>
              </w:rPr>
              <w:t xml:space="preserve"> np. usługowego, ale czy znajduje się w miejscu faktycznie łatwo dostępnym dla mieszkańców. Stąd </w:t>
            </w:r>
            <w:r>
              <w:rPr>
                <w:rFonts w:ascii="Arial" w:eastAsia="Arial" w:hAnsi="Arial" w:cs="Arial"/>
                <w:sz w:val="24"/>
                <w:szCs w:val="24"/>
              </w:rPr>
              <w:br/>
            </w:r>
            <w:r w:rsidRPr="003D018A">
              <w:rPr>
                <w:rFonts w:ascii="Arial" w:eastAsia="Arial" w:hAnsi="Arial" w:cs="Arial"/>
                <w:sz w:val="24"/>
                <w:szCs w:val="24"/>
              </w:rPr>
              <w:t>np. lokalizacja placu zabaw na dachu budynku mieszkaniowego byłaby absolutnie niewskazana.</w:t>
            </w:r>
          </w:p>
        </w:tc>
        <w:tc>
          <w:tcPr>
            <w:tcW w:w="2895" w:type="dxa"/>
          </w:tcPr>
          <w:p w14:paraId="159CD5A5" w14:textId="1A4F328C"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 xml:space="preserve">Proponujemy zmianę zapisu § 40 ust. 12 na: „Placu zabaw dla dzieci nie wykonuje się na stropodachu </w:t>
            </w:r>
            <w:r>
              <w:rPr>
                <w:rFonts w:ascii="Arial" w:eastAsia="Arial" w:hAnsi="Arial" w:cs="Arial"/>
                <w:sz w:val="24"/>
                <w:szCs w:val="24"/>
              </w:rPr>
              <w:lastRenderedPageBreak/>
              <w:t>znajdującym się powyżej 2 kondygnacji nadziemnej”.</w:t>
            </w:r>
          </w:p>
        </w:tc>
      </w:tr>
      <w:tr w:rsidR="00E672D2" w14:paraId="5767661A" w14:textId="77777777">
        <w:trPr>
          <w:trHeight w:val="711"/>
        </w:trPr>
        <w:tc>
          <w:tcPr>
            <w:tcW w:w="1005" w:type="dxa"/>
          </w:tcPr>
          <w:p w14:paraId="32AC4C05" w14:textId="6B52E9DE"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10.</w:t>
            </w:r>
          </w:p>
        </w:tc>
        <w:tc>
          <w:tcPr>
            <w:tcW w:w="2940" w:type="dxa"/>
          </w:tcPr>
          <w:p w14:paraId="16ED1810"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20C0D2CA" w14:textId="21ABE2E2"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sidRPr="000D1B28">
              <w:rPr>
                <w:rFonts w:ascii="Arial" w:eastAsia="Arial" w:hAnsi="Arial" w:cs="Arial"/>
                <w:sz w:val="24"/>
                <w:szCs w:val="24"/>
              </w:rPr>
              <w:t xml:space="preserve">§ 1 pkt </w:t>
            </w:r>
            <w:r>
              <w:rPr>
                <w:rFonts w:ascii="Arial" w:eastAsia="Arial" w:hAnsi="Arial" w:cs="Arial"/>
                <w:sz w:val="24"/>
                <w:szCs w:val="24"/>
              </w:rPr>
              <w:t>4</w:t>
            </w:r>
            <w:r w:rsidRPr="000D1B28">
              <w:rPr>
                <w:rFonts w:ascii="Arial" w:eastAsia="Arial" w:hAnsi="Arial" w:cs="Arial"/>
                <w:sz w:val="24"/>
                <w:szCs w:val="24"/>
              </w:rPr>
              <w:t>) projektu</w:t>
            </w:r>
            <w:r>
              <w:rPr>
                <w:rFonts w:ascii="Arial" w:eastAsia="Arial" w:hAnsi="Arial" w:cs="Arial"/>
                <w:sz w:val="24"/>
                <w:szCs w:val="24"/>
              </w:rPr>
              <w:t xml:space="preserve"> (dotyczący § 40 ust. 12 i 13 pkt. 1) rozporządzenia)</w:t>
            </w:r>
          </w:p>
        </w:tc>
        <w:tc>
          <w:tcPr>
            <w:tcW w:w="5085" w:type="dxa"/>
          </w:tcPr>
          <w:p w14:paraId="206352F8" w14:textId="2B30F634"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Proponowane zapisy wyeliminują wiele dobrych praktyk lokalizacji placów zabaw </w:t>
            </w:r>
            <w:r>
              <w:rPr>
                <w:rFonts w:ascii="Arial" w:eastAsia="Arial" w:hAnsi="Arial" w:cs="Arial"/>
                <w:sz w:val="24"/>
                <w:szCs w:val="24"/>
              </w:rPr>
              <w:br/>
              <w:t>na stropodachach budynków np. wielokondygnacyjnych garaży, które zdobywają popularność w Europie, jak również w Polsce. Taka możliwość pozwala na najbardziej racjonalne wykorzystanie przestrzeni i uzupełnienie poprzez zwarcie zurbanizowanego terenu tą niezwykle ważną funkcją społeczną.</w:t>
            </w:r>
          </w:p>
        </w:tc>
        <w:tc>
          <w:tcPr>
            <w:tcW w:w="2895" w:type="dxa"/>
          </w:tcPr>
          <w:p w14:paraId="1D72C7CB" w14:textId="5A2BAF53"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Proponujemy</w:t>
            </w:r>
            <w:r w:rsidR="00BD0AE5">
              <w:rPr>
                <w:rFonts w:ascii="Arial" w:eastAsia="Arial" w:hAnsi="Arial" w:cs="Arial"/>
                <w:sz w:val="24"/>
                <w:szCs w:val="24"/>
              </w:rPr>
              <w:t>, jako priorytetowe,</w:t>
            </w:r>
            <w:r>
              <w:rPr>
                <w:rFonts w:ascii="Arial" w:eastAsia="Arial" w:hAnsi="Arial" w:cs="Arial"/>
                <w:sz w:val="24"/>
                <w:szCs w:val="24"/>
              </w:rPr>
              <w:t xml:space="preserve"> usunięcie zapisu nowelizującego </w:t>
            </w:r>
            <w:r>
              <w:rPr>
                <w:rFonts w:ascii="Arial" w:eastAsia="Arial" w:hAnsi="Arial" w:cs="Arial"/>
                <w:sz w:val="24"/>
                <w:szCs w:val="24"/>
              </w:rPr>
              <w:br/>
              <w:t xml:space="preserve">§ 40 ust. 12 </w:t>
            </w:r>
            <w:r w:rsidR="00BD0AE5">
              <w:rPr>
                <w:rFonts w:ascii="Arial" w:eastAsia="Arial" w:hAnsi="Arial" w:cs="Arial"/>
                <w:sz w:val="24"/>
                <w:szCs w:val="24"/>
              </w:rPr>
              <w:t>(ewentualnie</w:t>
            </w:r>
            <w:r w:rsidR="00191F39">
              <w:rPr>
                <w:rFonts w:ascii="Arial" w:eastAsia="Arial" w:hAnsi="Arial" w:cs="Arial"/>
                <w:sz w:val="24"/>
                <w:szCs w:val="24"/>
              </w:rPr>
              <w:t>, w przypadku nieuwzględnienia uwagi,</w:t>
            </w:r>
            <w:r w:rsidR="00613241">
              <w:rPr>
                <w:rFonts w:ascii="Arial" w:eastAsia="Arial" w:hAnsi="Arial" w:cs="Arial"/>
                <w:sz w:val="24"/>
                <w:szCs w:val="24"/>
              </w:rPr>
              <w:t xml:space="preserve"> jego</w:t>
            </w:r>
            <w:r w:rsidR="00BD0AE5">
              <w:rPr>
                <w:rFonts w:ascii="Arial" w:eastAsia="Arial" w:hAnsi="Arial" w:cs="Arial"/>
                <w:sz w:val="24"/>
                <w:szCs w:val="24"/>
              </w:rPr>
              <w:t xml:space="preserve"> zmianę </w:t>
            </w:r>
            <w:r w:rsidR="00613241">
              <w:rPr>
                <w:rFonts w:ascii="Arial" w:eastAsia="Arial" w:hAnsi="Arial" w:cs="Arial"/>
                <w:sz w:val="24"/>
                <w:szCs w:val="24"/>
              </w:rPr>
              <w:t>w sposób wskazany</w:t>
            </w:r>
            <w:r w:rsidR="00BD0AE5">
              <w:rPr>
                <w:rFonts w:ascii="Arial" w:eastAsia="Arial" w:hAnsi="Arial" w:cs="Arial"/>
                <w:sz w:val="24"/>
                <w:szCs w:val="24"/>
              </w:rPr>
              <w:t xml:space="preserve"> </w:t>
            </w:r>
            <w:r w:rsidR="00613241">
              <w:rPr>
                <w:rFonts w:ascii="Arial" w:eastAsia="Arial" w:hAnsi="Arial" w:cs="Arial"/>
                <w:sz w:val="24"/>
                <w:szCs w:val="24"/>
              </w:rPr>
              <w:t xml:space="preserve">przez Komitet ds. Nieruchomości </w:t>
            </w:r>
            <w:r w:rsidR="00BD0AE5">
              <w:rPr>
                <w:rFonts w:ascii="Arial" w:eastAsia="Arial" w:hAnsi="Arial" w:cs="Arial"/>
                <w:sz w:val="24"/>
                <w:szCs w:val="24"/>
              </w:rPr>
              <w:t xml:space="preserve">w punkcie 9 Tabeli) </w:t>
            </w:r>
            <w:r>
              <w:rPr>
                <w:rFonts w:ascii="Arial" w:eastAsia="Arial" w:hAnsi="Arial" w:cs="Arial"/>
                <w:sz w:val="24"/>
                <w:szCs w:val="24"/>
              </w:rPr>
              <w:t>oraz § 40 ust. 13 pkt 1).</w:t>
            </w:r>
          </w:p>
        </w:tc>
      </w:tr>
      <w:tr w:rsidR="00E672D2" w14:paraId="53A8D935" w14:textId="77777777">
        <w:trPr>
          <w:trHeight w:val="711"/>
        </w:trPr>
        <w:tc>
          <w:tcPr>
            <w:tcW w:w="1005" w:type="dxa"/>
          </w:tcPr>
          <w:p w14:paraId="34C4C57E" w14:textId="50F7369C"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11.</w:t>
            </w:r>
          </w:p>
        </w:tc>
        <w:tc>
          <w:tcPr>
            <w:tcW w:w="2940" w:type="dxa"/>
          </w:tcPr>
          <w:p w14:paraId="7BD948A3"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59C49B8F" w14:textId="36F6DFA1" w:rsidR="00E672D2" w:rsidRDefault="00E672D2" w:rsidP="00E672D2">
            <w:pPr>
              <w:spacing w:before="240" w:line="360" w:lineRule="auto"/>
              <w:rPr>
                <w:rFonts w:ascii="Arial" w:eastAsia="Arial" w:hAnsi="Arial" w:cs="Arial"/>
                <w:sz w:val="24"/>
                <w:szCs w:val="24"/>
              </w:rPr>
            </w:pPr>
            <w:r w:rsidRPr="0095449C">
              <w:rPr>
                <w:rFonts w:ascii="Arial" w:eastAsia="Arial" w:hAnsi="Arial" w:cs="Arial"/>
                <w:sz w:val="24"/>
                <w:szCs w:val="24"/>
              </w:rPr>
              <w:t xml:space="preserve">§ 1 pkt </w:t>
            </w:r>
            <w:r>
              <w:rPr>
                <w:rFonts w:ascii="Arial" w:eastAsia="Arial" w:hAnsi="Arial" w:cs="Arial"/>
                <w:sz w:val="24"/>
                <w:szCs w:val="24"/>
              </w:rPr>
              <w:t>4</w:t>
            </w:r>
            <w:r w:rsidRPr="0095449C">
              <w:rPr>
                <w:rFonts w:ascii="Arial" w:eastAsia="Arial" w:hAnsi="Arial" w:cs="Arial"/>
                <w:sz w:val="24"/>
                <w:szCs w:val="24"/>
              </w:rPr>
              <w:t xml:space="preserve">) projektu </w:t>
            </w:r>
            <w:r>
              <w:rPr>
                <w:rFonts w:ascii="Arial" w:eastAsia="Arial" w:hAnsi="Arial" w:cs="Arial"/>
                <w:sz w:val="24"/>
                <w:szCs w:val="24"/>
              </w:rPr>
              <w:t xml:space="preserve">(dotyczący § 40 </w:t>
            </w:r>
            <w:r>
              <w:rPr>
                <w:rFonts w:ascii="Arial" w:eastAsia="Arial" w:hAnsi="Arial" w:cs="Arial"/>
                <w:sz w:val="24"/>
                <w:szCs w:val="24"/>
              </w:rPr>
              <w:br/>
              <w:t>ust. 13 pkt. 3) rozporządzenia)</w:t>
            </w:r>
          </w:p>
        </w:tc>
        <w:tc>
          <w:tcPr>
            <w:tcW w:w="5085" w:type="dxa"/>
          </w:tcPr>
          <w:p w14:paraId="6690B103" w14:textId="4FF82593"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Propozycja zmiany w przepisie w przypadku stropodachu nad garażem podziemnym spowoduje konieczność ogrodzenia placu zabaw balustradą o wysokości min. 1,6 m, która w takiej sytuacji będzie zbędna nie tylko pod kątem estetycznym, ale przede wszystkim funkcjonalno-przestrzennym, </w:t>
            </w:r>
            <w:r>
              <w:rPr>
                <w:rFonts w:ascii="Arial" w:eastAsia="Arial" w:hAnsi="Arial" w:cs="Arial"/>
                <w:sz w:val="24"/>
                <w:szCs w:val="24"/>
              </w:rPr>
              <w:lastRenderedPageBreak/>
              <w:t>generując dodatkowo zbędne koszty inwestycji.</w:t>
            </w:r>
          </w:p>
        </w:tc>
        <w:tc>
          <w:tcPr>
            <w:tcW w:w="2895" w:type="dxa"/>
          </w:tcPr>
          <w:p w14:paraId="57E3A7CA" w14:textId="37EDFEFA"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 xml:space="preserve">Proponujemy uzupełnienie zapisu </w:t>
            </w:r>
            <w:r>
              <w:rPr>
                <w:rFonts w:ascii="Arial" w:eastAsia="Arial" w:hAnsi="Arial" w:cs="Arial"/>
                <w:sz w:val="24"/>
                <w:szCs w:val="24"/>
              </w:rPr>
              <w:br/>
              <w:t xml:space="preserve">o dodanie wyjątku </w:t>
            </w:r>
            <w:r>
              <w:rPr>
                <w:rFonts w:ascii="Arial" w:eastAsia="Arial" w:hAnsi="Arial" w:cs="Arial"/>
                <w:sz w:val="24"/>
                <w:szCs w:val="24"/>
              </w:rPr>
              <w:br/>
              <w:t>o treści: „za wyjątkiem powierzchni, z których wypadnięcie jest niemożliwe.”.</w:t>
            </w:r>
          </w:p>
        </w:tc>
      </w:tr>
      <w:tr w:rsidR="00E672D2" w14:paraId="1F7036B5" w14:textId="77777777">
        <w:trPr>
          <w:trHeight w:val="711"/>
        </w:trPr>
        <w:tc>
          <w:tcPr>
            <w:tcW w:w="1005" w:type="dxa"/>
          </w:tcPr>
          <w:p w14:paraId="0FA1A484" w14:textId="405B8E58"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12.</w:t>
            </w:r>
          </w:p>
        </w:tc>
        <w:tc>
          <w:tcPr>
            <w:tcW w:w="2940" w:type="dxa"/>
          </w:tcPr>
          <w:p w14:paraId="473122C3"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430F5F44" w14:textId="75FF83F4"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sidRPr="0095449C">
              <w:rPr>
                <w:rFonts w:ascii="Arial" w:eastAsia="Arial" w:hAnsi="Arial" w:cs="Arial"/>
                <w:sz w:val="24"/>
                <w:szCs w:val="24"/>
              </w:rPr>
              <w:t xml:space="preserve">§ 1 pkt </w:t>
            </w:r>
            <w:r>
              <w:rPr>
                <w:rFonts w:ascii="Arial" w:eastAsia="Arial" w:hAnsi="Arial" w:cs="Arial"/>
                <w:sz w:val="24"/>
                <w:szCs w:val="24"/>
              </w:rPr>
              <w:t>5</w:t>
            </w:r>
            <w:r w:rsidRPr="0095449C">
              <w:rPr>
                <w:rFonts w:ascii="Arial" w:eastAsia="Arial" w:hAnsi="Arial" w:cs="Arial"/>
                <w:sz w:val="24"/>
                <w:szCs w:val="24"/>
              </w:rPr>
              <w:t xml:space="preserve">) projektu </w:t>
            </w:r>
            <w:r>
              <w:rPr>
                <w:rFonts w:ascii="Arial" w:eastAsia="Arial" w:hAnsi="Arial" w:cs="Arial"/>
                <w:sz w:val="24"/>
                <w:szCs w:val="24"/>
              </w:rPr>
              <w:t xml:space="preserve">(dotyczący § 56a </w:t>
            </w:r>
            <w:r>
              <w:rPr>
                <w:rFonts w:ascii="Arial" w:eastAsia="Arial" w:hAnsi="Arial" w:cs="Arial"/>
                <w:sz w:val="24"/>
                <w:szCs w:val="24"/>
              </w:rPr>
              <w:br/>
              <w:t>ust. 2 rozporządzenia)</w:t>
            </w:r>
          </w:p>
        </w:tc>
        <w:tc>
          <w:tcPr>
            <w:tcW w:w="5085" w:type="dxa"/>
          </w:tcPr>
          <w:p w14:paraId="3FC69808" w14:textId="1370916D"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Przewidziane wyjątki dotyczące możliwości realizacji lokalu użytkowego o powierzchni mniejszej niż 25 m</w:t>
            </w:r>
            <w:r w:rsidRPr="007C1C36">
              <w:rPr>
                <w:rFonts w:ascii="Arial" w:eastAsia="Arial" w:hAnsi="Arial" w:cs="Arial"/>
                <w:sz w:val="24"/>
                <w:szCs w:val="24"/>
                <w:vertAlign w:val="superscript"/>
              </w:rPr>
              <w:t>2</w:t>
            </w:r>
            <w:r>
              <w:rPr>
                <w:rFonts w:ascii="Arial" w:eastAsia="Arial" w:hAnsi="Arial" w:cs="Arial"/>
                <w:sz w:val="24"/>
                <w:szCs w:val="24"/>
              </w:rPr>
              <w:t xml:space="preserve"> nie uwzględniają wielu sytuacji, w których takie lokale obecnie funkcjonują zarówno w większych, jak</w:t>
            </w:r>
            <w:r>
              <w:rPr>
                <w:rFonts w:ascii="Arial" w:eastAsia="Arial" w:hAnsi="Arial" w:cs="Arial"/>
                <w:sz w:val="24"/>
                <w:szCs w:val="24"/>
              </w:rPr>
              <w:br/>
              <w:t xml:space="preserve">i mniejszych miejscowościach (mowa tu </w:t>
            </w:r>
            <w:r>
              <w:rPr>
                <w:rFonts w:ascii="Arial" w:eastAsia="Arial" w:hAnsi="Arial" w:cs="Arial"/>
                <w:sz w:val="24"/>
                <w:szCs w:val="24"/>
              </w:rPr>
              <w:br/>
              <w:t xml:space="preserve">o: lokalach handlowych, gastronomicznych, usługowych zlokalizowany w suterenie, </w:t>
            </w:r>
            <w:r>
              <w:rPr>
                <w:rFonts w:ascii="Arial" w:eastAsia="Arial" w:hAnsi="Arial" w:cs="Arial"/>
                <w:sz w:val="24"/>
                <w:szCs w:val="24"/>
              </w:rPr>
              <w:br/>
              <w:t xml:space="preserve">a więc na kondygnacji podziemnej, zlokalizowanych w parterze, ale dostępnych nie bezpośrednio z zewnątrz, lecz poprzez hall budynku itp.). Przepis zawiera rozwiązania bardzo niekorzystne przede wszystkim dla mikroprzedsiębiorców prowadzących działalność w małych lokalach handlowych i usługowych, mniejszych niż </w:t>
            </w:r>
            <w:r>
              <w:rPr>
                <w:rFonts w:ascii="Arial" w:eastAsia="Arial" w:hAnsi="Arial" w:cs="Arial"/>
                <w:sz w:val="24"/>
                <w:szCs w:val="24"/>
              </w:rPr>
              <w:br/>
              <w:t>25 m</w:t>
            </w:r>
            <w:r w:rsidRPr="007C1C36">
              <w:rPr>
                <w:rFonts w:ascii="Arial" w:eastAsia="Arial" w:hAnsi="Arial" w:cs="Arial"/>
                <w:sz w:val="24"/>
                <w:szCs w:val="24"/>
                <w:vertAlign w:val="superscript"/>
              </w:rPr>
              <w:t>2</w:t>
            </w:r>
            <w:r>
              <w:rPr>
                <w:rFonts w:ascii="Arial" w:eastAsia="Arial" w:hAnsi="Arial" w:cs="Arial"/>
                <w:sz w:val="24"/>
                <w:szCs w:val="24"/>
              </w:rPr>
              <w:t>, takich jak wspomniana powyżej: mała gastronomia, warzywniak, naprawa urządzeń elektronicznych, zegarmistrz itp.</w:t>
            </w:r>
          </w:p>
        </w:tc>
        <w:tc>
          <w:tcPr>
            <w:tcW w:w="2895" w:type="dxa"/>
          </w:tcPr>
          <w:p w14:paraId="40C34D10" w14:textId="50DF6E65"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Proponujemy dodanie </w:t>
            </w:r>
            <w:r>
              <w:rPr>
                <w:rFonts w:ascii="Arial" w:eastAsia="Arial" w:hAnsi="Arial" w:cs="Arial"/>
                <w:sz w:val="24"/>
                <w:szCs w:val="24"/>
              </w:rPr>
              <w:br/>
              <w:t xml:space="preserve">do zapisu zwrotu: „lub </w:t>
            </w:r>
            <w:r>
              <w:rPr>
                <w:rFonts w:ascii="Arial" w:eastAsia="Arial" w:hAnsi="Arial" w:cs="Arial"/>
                <w:sz w:val="24"/>
                <w:szCs w:val="24"/>
              </w:rPr>
              <w:br/>
              <w:t xml:space="preserve">w przypadku lokalu użytkowego przeznaczonego do prowadzenia działalności handlowej, gastronomicznej lub usługowej, niezależnie od jego lokalizacji </w:t>
            </w:r>
            <w:r>
              <w:rPr>
                <w:rFonts w:ascii="Arial" w:eastAsia="Arial" w:hAnsi="Arial" w:cs="Arial"/>
                <w:sz w:val="24"/>
                <w:szCs w:val="24"/>
              </w:rPr>
              <w:br/>
              <w:t>w budynku i sposobu dostępu do lokalu”.</w:t>
            </w:r>
          </w:p>
        </w:tc>
      </w:tr>
      <w:tr w:rsidR="00E672D2" w14:paraId="6E77BC89" w14:textId="77777777">
        <w:trPr>
          <w:trHeight w:val="711"/>
        </w:trPr>
        <w:tc>
          <w:tcPr>
            <w:tcW w:w="1005" w:type="dxa"/>
          </w:tcPr>
          <w:p w14:paraId="2EEF73B4" w14:textId="269AEBB7" w:rsidR="00E672D2" w:rsidRDefault="00DA5387"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lastRenderedPageBreak/>
              <w:t>13.</w:t>
            </w:r>
          </w:p>
        </w:tc>
        <w:tc>
          <w:tcPr>
            <w:tcW w:w="2940" w:type="dxa"/>
          </w:tcPr>
          <w:p w14:paraId="333691D7" w14:textId="77777777" w:rsidR="00E672D2" w:rsidRDefault="00E672D2" w:rsidP="00E672D2">
            <w:pPr>
              <w:spacing w:before="240" w:line="360" w:lineRule="auto"/>
              <w:rPr>
                <w:rFonts w:ascii="Arial" w:eastAsia="Arial" w:hAnsi="Arial" w:cs="Arial"/>
                <w:sz w:val="24"/>
                <w:szCs w:val="24"/>
              </w:rPr>
            </w:pPr>
            <w:r>
              <w:rPr>
                <w:rFonts w:ascii="Arial" w:eastAsia="Arial" w:hAnsi="Arial" w:cs="Arial"/>
                <w:sz w:val="24"/>
                <w:szCs w:val="24"/>
              </w:rPr>
              <w:t>Komitet ds. Nieruchomości Krajowej Izby Gospodarczej</w:t>
            </w:r>
          </w:p>
        </w:tc>
        <w:tc>
          <w:tcPr>
            <w:tcW w:w="2550" w:type="dxa"/>
          </w:tcPr>
          <w:p w14:paraId="4F85A997" w14:textId="205188D9" w:rsidR="00E672D2" w:rsidRDefault="00E672D2" w:rsidP="00E672D2">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 3 projektu dotyczący wejścia </w:t>
            </w:r>
            <w:r>
              <w:rPr>
                <w:rFonts w:ascii="Arial" w:eastAsia="Arial" w:hAnsi="Arial" w:cs="Arial"/>
                <w:sz w:val="24"/>
                <w:szCs w:val="24"/>
              </w:rPr>
              <w:br/>
              <w:t xml:space="preserve">w życie nowelizacji rozporządzenia </w:t>
            </w:r>
          </w:p>
        </w:tc>
        <w:tc>
          <w:tcPr>
            <w:tcW w:w="5085" w:type="dxa"/>
          </w:tcPr>
          <w:p w14:paraId="55C7E071" w14:textId="3637E2C3" w:rsidR="00E672D2" w:rsidRDefault="00E672D2" w:rsidP="00B11263">
            <w:pPr>
              <w:pBdr>
                <w:top w:val="nil"/>
                <w:left w:val="nil"/>
                <w:bottom w:val="nil"/>
                <w:right w:val="nil"/>
                <w:between w:val="nil"/>
              </w:pBdr>
              <w:spacing w:before="240" w:line="360" w:lineRule="auto"/>
              <w:rPr>
                <w:rFonts w:ascii="Arial" w:eastAsia="Arial" w:hAnsi="Arial" w:cs="Arial"/>
                <w:sz w:val="24"/>
                <w:szCs w:val="24"/>
              </w:rPr>
            </w:pPr>
            <w:r>
              <w:rPr>
                <w:rFonts w:ascii="Arial" w:eastAsia="Arial" w:hAnsi="Arial" w:cs="Arial"/>
                <w:sz w:val="24"/>
                <w:szCs w:val="24"/>
              </w:rPr>
              <w:t xml:space="preserve">Z uwagi na czasochłonne procedury zakupu gruntu, przygotowania i projektowania inwestycji itp. (trwające nierzadko kilka lat) proponujemy, aby termin wejścia w życie rozporządzenia został wydłużony do </w:t>
            </w:r>
            <w:r>
              <w:rPr>
                <w:rFonts w:ascii="Arial" w:eastAsia="Arial" w:hAnsi="Arial" w:cs="Arial"/>
                <w:sz w:val="24"/>
                <w:szCs w:val="24"/>
              </w:rPr>
              <w:br/>
              <w:t xml:space="preserve">12 miesięcy od dnia ogłoszenia. Pozwoli </w:t>
            </w:r>
            <w:r>
              <w:rPr>
                <w:rFonts w:ascii="Arial" w:eastAsia="Arial" w:hAnsi="Arial" w:cs="Arial"/>
                <w:sz w:val="24"/>
                <w:szCs w:val="24"/>
              </w:rPr>
              <w:br/>
              <w:t>to inwestorom na dokończenie projektowania inwestycji będących w toku lub dostosowanie się do nowych przepisów.</w:t>
            </w:r>
          </w:p>
        </w:tc>
        <w:tc>
          <w:tcPr>
            <w:tcW w:w="2895" w:type="dxa"/>
          </w:tcPr>
          <w:p w14:paraId="6FFA400A" w14:textId="76743F2E" w:rsidR="00E672D2" w:rsidRPr="00EE5B3C" w:rsidRDefault="00E672D2" w:rsidP="00C40BF7">
            <w:pPr>
              <w:spacing w:before="240" w:line="360" w:lineRule="auto"/>
              <w:rPr>
                <w:rFonts w:ascii="Arial" w:eastAsia="Arial" w:hAnsi="Arial" w:cs="Arial"/>
                <w:iCs/>
                <w:sz w:val="24"/>
                <w:szCs w:val="24"/>
              </w:rPr>
            </w:pPr>
            <w:r>
              <w:rPr>
                <w:rFonts w:ascii="Arial" w:eastAsia="Arial" w:hAnsi="Arial" w:cs="Arial"/>
                <w:iCs/>
                <w:sz w:val="24"/>
                <w:szCs w:val="24"/>
              </w:rPr>
              <w:t>Proponujemy, aby r</w:t>
            </w:r>
            <w:r w:rsidRPr="00FA2434">
              <w:rPr>
                <w:rFonts w:ascii="Arial" w:eastAsia="Arial" w:hAnsi="Arial" w:cs="Arial"/>
                <w:iCs/>
                <w:sz w:val="24"/>
                <w:szCs w:val="24"/>
              </w:rPr>
              <w:t xml:space="preserve">ozporządzenie </w:t>
            </w:r>
            <w:r>
              <w:rPr>
                <w:rFonts w:ascii="Arial" w:eastAsia="Arial" w:hAnsi="Arial" w:cs="Arial"/>
                <w:iCs/>
                <w:sz w:val="24"/>
                <w:szCs w:val="24"/>
              </w:rPr>
              <w:t>weszło</w:t>
            </w:r>
            <w:r w:rsidRPr="00AD6D0F">
              <w:rPr>
                <w:rFonts w:ascii="Arial" w:eastAsia="Arial" w:hAnsi="Arial" w:cs="Arial"/>
                <w:iCs/>
                <w:sz w:val="24"/>
                <w:szCs w:val="24"/>
              </w:rPr>
              <w:t xml:space="preserve"> w życie po upływie </w:t>
            </w:r>
            <w:r>
              <w:rPr>
                <w:rFonts w:ascii="Arial" w:eastAsia="Arial" w:hAnsi="Arial" w:cs="Arial"/>
                <w:iCs/>
                <w:sz w:val="24"/>
                <w:szCs w:val="24"/>
              </w:rPr>
              <w:br/>
            </w:r>
            <w:r w:rsidRPr="00AD6D0F">
              <w:rPr>
                <w:rFonts w:ascii="Arial" w:eastAsia="Arial" w:hAnsi="Arial" w:cs="Arial"/>
                <w:iCs/>
                <w:sz w:val="24"/>
                <w:szCs w:val="24"/>
              </w:rPr>
              <w:t>12 miesięcy od dnia ogłoszenia.</w:t>
            </w:r>
          </w:p>
        </w:tc>
      </w:tr>
    </w:tbl>
    <w:p w14:paraId="3BA9C22F" w14:textId="77777777" w:rsidR="00E4441D" w:rsidRDefault="00E4441D" w:rsidP="001103D1">
      <w:pPr>
        <w:pBdr>
          <w:top w:val="nil"/>
          <w:left w:val="nil"/>
          <w:bottom w:val="nil"/>
          <w:right w:val="nil"/>
          <w:between w:val="nil"/>
        </w:pBdr>
        <w:rPr>
          <w:rFonts w:ascii="Arial" w:eastAsia="Arial" w:hAnsi="Arial" w:cs="Arial"/>
          <w:color w:val="000000"/>
          <w:sz w:val="24"/>
          <w:szCs w:val="24"/>
        </w:rPr>
      </w:pPr>
    </w:p>
    <w:sectPr w:rsidR="00E4441D">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BC8D" w14:textId="77777777" w:rsidR="00C07762" w:rsidRDefault="00C07762" w:rsidP="004413B6">
      <w:r>
        <w:separator/>
      </w:r>
    </w:p>
  </w:endnote>
  <w:endnote w:type="continuationSeparator" w:id="0">
    <w:p w14:paraId="5E46C86F" w14:textId="77777777" w:rsidR="00C07762" w:rsidRDefault="00C07762" w:rsidP="0044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96745" w14:textId="77777777" w:rsidR="00C07762" w:rsidRDefault="00C07762" w:rsidP="004413B6">
      <w:r>
        <w:separator/>
      </w:r>
    </w:p>
  </w:footnote>
  <w:footnote w:type="continuationSeparator" w:id="0">
    <w:p w14:paraId="63ED401C" w14:textId="77777777" w:rsidR="00C07762" w:rsidRDefault="00C07762" w:rsidP="00441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1D"/>
    <w:rsid w:val="0002638B"/>
    <w:rsid w:val="000361B2"/>
    <w:rsid w:val="00044DA1"/>
    <w:rsid w:val="00076442"/>
    <w:rsid w:val="000839EC"/>
    <w:rsid w:val="000A5899"/>
    <w:rsid w:val="000B766D"/>
    <w:rsid w:val="000C5C02"/>
    <w:rsid w:val="000D1B28"/>
    <w:rsid w:val="000F33BC"/>
    <w:rsid w:val="000F78A8"/>
    <w:rsid w:val="001103D1"/>
    <w:rsid w:val="00115715"/>
    <w:rsid w:val="00141130"/>
    <w:rsid w:val="0015385E"/>
    <w:rsid w:val="00154342"/>
    <w:rsid w:val="00175965"/>
    <w:rsid w:val="00180AC4"/>
    <w:rsid w:val="00191A72"/>
    <w:rsid w:val="00191F39"/>
    <w:rsid w:val="001C4222"/>
    <w:rsid w:val="001D1C8C"/>
    <w:rsid w:val="001D4692"/>
    <w:rsid w:val="001E0C52"/>
    <w:rsid w:val="001E5295"/>
    <w:rsid w:val="001E6C58"/>
    <w:rsid w:val="00206F8C"/>
    <w:rsid w:val="002420E5"/>
    <w:rsid w:val="00261B92"/>
    <w:rsid w:val="00280674"/>
    <w:rsid w:val="002E4090"/>
    <w:rsid w:val="00307118"/>
    <w:rsid w:val="0031320B"/>
    <w:rsid w:val="003B083F"/>
    <w:rsid w:val="003D018A"/>
    <w:rsid w:val="003F6CA1"/>
    <w:rsid w:val="003F700B"/>
    <w:rsid w:val="003F70BD"/>
    <w:rsid w:val="004111E8"/>
    <w:rsid w:val="00417D05"/>
    <w:rsid w:val="004322E9"/>
    <w:rsid w:val="004413B6"/>
    <w:rsid w:val="00451390"/>
    <w:rsid w:val="004537F0"/>
    <w:rsid w:val="004718B8"/>
    <w:rsid w:val="00497A2E"/>
    <w:rsid w:val="004C099A"/>
    <w:rsid w:val="004C2101"/>
    <w:rsid w:val="004D31BD"/>
    <w:rsid w:val="004D7B53"/>
    <w:rsid w:val="004E1DCB"/>
    <w:rsid w:val="004F055C"/>
    <w:rsid w:val="00560FE3"/>
    <w:rsid w:val="00570409"/>
    <w:rsid w:val="00580AB2"/>
    <w:rsid w:val="00582AC2"/>
    <w:rsid w:val="005A0D0B"/>
    <w:rsid w:val="005A15F6"/>
    <w:rsid w:val="005A7099"/>
    <w:rsid w:val="005B6E60"/>
    <w:rsid w:val="005B77D0"/>
    <w:rsid w:val="005C5010"/>
    <w:rsid w:val="00611D1A"/>
    <w:rsid w:val="00613241"/>
    <w:rsid w:val="006237B6"/>
    <w:rsid w:val="00632CC2"/>
    <w:rsid w:val="00644739"/>
    <w:rsid w:val="006458D8"/>
    <w:rsid w:val="006833B6"/>
    <w:rsid w:val="006931CD"/>
    <w:rsid w:val="0069423B"/>
    <w:rsid w:val="006A0829"/>
    <w:rsid w:val="006B5EDF"/>
    <w:rsid w:val="006C0915"/>
    <w:rsid w:val="006C4124"/>
    <w:rsid w:val="006D7E03"/>
    <w:rsid w:val="00720CC2"/>
    <w:rsid w:val="00736BE3"/>
    <w:rsid w:val="00743564"/>
    <w:rsid w:val="00753194"/>
    <w:rsid w:val="0075723E"/>
    <w:rsid w:val="007666B7"/>
    <w:rsid w:val="00782AAA"/>
    <w:rsid w:val="00786FEB"/>
    <w:rsid w:val="007C1C36"/>
    <w:rsid w:val="007D60D5"/>
    <w:rsid w:val="007F30E9"/>
    <w:rsid w:val="00825263"/>
    <w:rsid w:val="00852E1A"/>
    <w:rsid w:val="008665E6"/>
    <w:rsid w:val="00870AF9"/>
    <w:rsid w:val="00873BCA"/>
    <w:rsid w:val="008B2BE9"/>
    <w:rsid w:val="008C35A3"/>
    <w:rsid w:val="008C4475"/>
    <w:rsid w:val="0092524C"/>
    <w:rsid w:val="0095449C"/>
    <w:rsid w:val="00970A55"/>
    <w:rsid w:val="00971590"/>
    <w:rsid w:val="009969C9"/>
    <w:rsid w:val="00A13F51"/>
    <w:rsid w:val="00A8331D"/>
    <w:rsid w:val="00A8354E"/>
    <w:rsid w:val="00A86C50"/>
    <w:rsid w:val="00AA6124"/>
    <w:rsid w:val="00AD6D0F"/>
    <w:rsid w:val="00B11263"/>
    <w:rsid w:val="00B35AC2"/>
    <w:rsid w:val="00B37242"/>
    <w:rsid w:val="00B929B0"/>
    <w:rsid w:val="00B93C90"/>
    <w:rsid w:val="00BA1B2D"/>
    <w:rsid w:val="00BA5AE5"/>
    <w:rsid w:val="00BB1989"/>
    <w:rsid w:val="00BD0AE5"/>
    <w:rsid w:val="00BD5FDB"/>
    <w:rsid w:val="00C07762"/>
    <w:rsid w:val="00C14A3E"/>
    <w:rsid w:val="00C15CE4"/>
    <w:rsid w:val="00C24039"/>
    <w:rsid w:val="00C362B2"/>
    <w:rsid w:val="00C40BF7"/>
    <w:rsid w:val="00C71D52"/>
    <w:rsid w:val="00C76191"/>
    <w:rsid w:val="00C85CD8"/>
    <w:rsid w:val="00C85DE0"/>
    <w:rsid w:val="00CA69A1"/>
    <w:rsid w:val="00CE5882"/>
    <w:rsid w:val="00D23658"/>
    <w:rsid w:val="00D25C31"/>
    <w:rsid w:val="00D30972"/>
    <w:rsid w:val="00D55131"/>
    <w:rsid w:val="00D62F71"/>
    <w:rsid w:val="00D84D4D"/>
    <w:rsid w:val="00D97462"/>
    <w:rsid w:val="00DA5387"/>
    <w:rsid w:val="00DE614F"/>
    <w:rsid w:val="00E0061A"/>
    <w:rsid w:val="00E04560"/>
    <w:rsid w:val="00E16464"/>
    <w:rsid w:val="00E30F0C"/>
    <w:rsid w:val="00E4441D"/>
    <w:rsid w:val="00E4679E"/>
    <w:rsid w:val="00E672D2"/>
    <w:rsid w:val="00E948EA"/>
    <w:rsid w:val="00EC0618"/>
    <w:rsid w:val="00EC7BF6"/>
    <w:rsid w:val="00EE5B3C"/>
    <w:rsid w:val="00EF1B81"/>
    <w:rsid w:val="00F009CD"/>
    <w:rsid w:val="00F1666D"/>
    <w:rsid w:val="00F23CC2"/>
    <w:rsid w:val="00F35E80"/>
    <w:rsid w:val="00F51D48"/>
    <w:rsid w:val="00F66250"/>
    <w:rsid w:val="00F75943"/>
    <w:rsid w:val="00FA2434"/>
    <w:rsid w:val="00FB2C88"/>
    <w:rsid w:val="00FD4889"/>
    <w:rsid w:val="00FE7B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C4585"/>
  <w15:docId w15:val="{F62ABA67-6DBE-49F6-8167-FB8948EB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kstkomentarza">
    <w:name w:val="annotation text"/>
    <w:basedOn w:val="Normalny"/>
    <w:link w:val="TekstkomentarzaZnak"/>
    <w:uiPriority w:val="99"/>
    <w:semiHidden/>
    <w:unhideWhenUsed/>
  </w:style>
  <w:style w:type="character" w:customStyle="1" w:styleId="TekstkomentarzaZnak">
    <w:name w:val="Tekst komentarza Znak"/>
    <w:basedOn w:val="Domylnaczcionkaakapitu"/>
    <w:link w:val="Tekstkomentarza"/>
    <w:uiPriority w:val="99"/>
    <w:semiHidden/>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115715"/>
  </w:style>
  <w:style w:type="paragraph" w:styleId="Tematkomentarza">
    <w:name w:val="annotation subject"/>
    <w:basedOn w:val="Tekstkomentarza"/>
    <w:next w:val="Tekstkomentarza"/>
    <w:link w:val="TematkomentarzaZnak"/>
    <w:uiPriority w:val="99"/>
    <w:semiHidden/>
    <w:unhideWhenUsed/>
    <w:rsid w:val="005A15F6"/>
    <w:rPr>
      <w:b/>
      <w:bCs/>
    </w:rPr>
  </w:style>
  <w:style w:type="character" w:customStyle="1" w:styleId="TematkomentarzaZnak">
    <w:name w:val="Temat komentarza Znak"/>
    <w:basedOn w:val="TekstkomentarzaZnak"/>
    <w:link w:val="Tematkomentarza"/>
    <w:uiPriority w:val="99"/>
    <w:semiHidden/>
    <w:rsid w:val="005A15F6"/>
    <w:rPr>
      <w:b/>
      <w:bCs/>
    </w:rPr>
  </w:style>
  <w:style w:type="paragraph" w:styleId="Tekstprzypisukocowego">
    <w:name w:val="endnote text"/>
    <w:basedOn w:val="Normalny"/>
    <w:link w:val="TekstprzypisukocowegoZnak"/>
    <w:uiPriority w:val="99"/>
    <w:semiHidden/>
    <w:unhideWhenUsed/>
    <w:rsid w:val="004413B6"/>
  </w:style>
  <w:style w:type="character" w:customStyle="1" w:styleId="TekstprzypisukocowegoZnak">
    <w:name w:val="Tekst przypisu końcowego Znak"/>
    <w:basedOn w:val="Domylnaczcionkaakapitu"/>
    <w:link w:val="Tekstprzypisukocowego"/>
    <w:uiPriority w:val="99"/>
    <w:semiHidden/>
    <w:rsid w:val="004413B6"/>
  </w:style>
  <w:style w:type="character" w:styleId="Odwoanieprzypisukocowego">
    <w:name w:val="endnote reference"/>
    <w:basedOn w:val="Domylnaczcionkaakapitu"/>
    <w:uiPriority w:val="99"/>
    <w:semiHidden/>
    <w:unhideWhenUsed/>
    <w:rsid w:val="004413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2176</Words>
  <Characters>13059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Maj</dc:creator>
  <cp:lastModifiedBy>Dart Agnian</cp:lastModifiedBy>
  <cp:revision>5</cp:revision>
  <dcterms:created xsi:type="dcterms:W3CDTF">2023-06-26T06:32:00Z</dcterms:created>
  <dcterms:modified xsi:type="dcterms:W3CDTF">2023-06-27T06:12:00Z</dcterms:modified>
</cp:coreProperties>
</file>