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8323" w14:textId="77777777" w:rsidR="00A32708" w:rsidRPr="00271261" w:rsidRDefault="00A32708" w:rsidP="00A327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</w:p>
    <w:p w14:paraId="1EC9A5AA" w14:textId="77777777" w:rsidR="00430F22" w:rsidRPr="00271261" w:rsidRDefault="00A32708" w:rsidP="00430F2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Pr="00271261">
        <w:rPr>
          <w:rFonts w:asciiTheme="minorHAnsi" w:hAnsiTheme="minorHAnsi" w:cstheme="minorHAnsi"/>
          <w:sz w:val="22"/>
          <w:szCs w:val="22"/>
        </w:rPr>
        <w:tab/>
      </w:r>
      <w:r w:rsidR="00430F22" w:rsidRPr="00271261">
        <w:rPr>
          <w:rFonts w:asciiTheme="minorHAnsi" w:hAnsiTheme="minorHAnsi" w:cstheme="minorHAnsi"/>
          <w:sz w:val="20"/>
          <w:szCs w:val="20"/>
        </w:rPr>
        <w:tab/>
      </w:r>
      <w:r w:rsidR="00430F22" w:rsidRPr="00271261">
        <w:rPr>
          <w:rFonts w:asciiTheme="minorHAnsi" w:hAnsiTheme="minorHAnsi" w:cstheme="minorHAnsi"/>
          <w:sz w:val="20"/>
          <w:szCs w:val="20"/>
        </w:rPr>
        <w:tab/>
      </w:r>
    </w:p>
    <w:p w14:paraId="10D1AFD5" w14:textId="12C66E4C" w:rsidR="00264C7F" w:rsidRDefault="00264C7F" w:rsidP="00264C7F">
      <w:pPr>
        <w:tabs>
          <w:tab w:val="left" w:pos="8505"/>
          <w:tab w:val="left" w:pos="13608"/>
        </w:tabs>
        <w:spacing w:after="0" w:line="240" w:lineRule="auto"/>
        <w:jc w:val="center"/>
        <w:rPr>
          <w:rFonts w:cs="Calibri"/>
          <w:b/>
          <w:bCs/>
          <w:kern w:val="28"/>
        </w:rPr>
      </w:pPr>
      <w:r w:rsidRPr="00BB3D65">
        <w:rPr>
          <w:rFonts w:cs="Calibri"/>
          <w:b/>
          <w:bCs/>
          <w:kern w:val="28"/>
        </w:rPr>
        <w:t xml:space="preserve">OŚWIADCZENIE </w:t>
      </w:r>
      <w:r>
        <w:rPr>
          <w:b/>
          <w:bCs/>
          <w:sz w:val="23"/>
          <w:szCs w:val="23"/>
        </w:rPr>
        <w:t>WYKONAWCY</w:t>
      </w:r>
    </w:p>
    <w:p w14:paraId="57533992" w14:textId="618210AE" w:rsidR="00264C7F" w:rsidRDefault="00264C7F" w:rsidP="00264C7F">
      <w:pPr>
        <w:tabs>
          <w:tab w:val="left" w:pos="8505"/>
          <w:tab w:val="left" w:pos="13608"/>
        </w:tabs>
        <w:spacing w:after="0" w:line="240" w:lineRule="auto"/>
        <w:jc w:val="center"/>
        <w:rPr>
          <w:rFonts w:cs="Calibri"/>
          <w:b/>
          <w:bCs/>
          <w:kern w:val="28"/>
        </w:rPr>
      </w:pPr>
      <w:r w:rsidRPr="00BB3D65">
        <w:rPr>
          <w:rFonts w:cs="Calibri"/>
          <w:b/>
          <w:bCs/>
          <w:kern w:val="28"/>
        </w:rPr>
        <w:t xml:space="preserve">DOTYCZĄCE ISTNIENIA OKOLICZNOŚCI I PODSTAW DO ZAKAZU UDOSTĘPNIENIA FUNDUSZY, ŚRODKÓW FINANSOWYCH LUB ZASOBÓW GOSPODARCZYCH ORAZ UDZIELENIA WSPARCIA </w:t>
      </w:r>
      <w:r>
        <w:rPr>
          <w:rFonts w:cs="Calibri"/>
          <w:b/>
          <w:bCs/>
          <w:kern w:val="28"/>
        </w:rPr>
        <w:br/>
      </w:r>
      <w:r w:rsidRPr="00BB3D65">
        <w:rPr>
          <w:rFonts w:cs="Calibri"/>
          <w:b/>
          <w:bCs/>
          <w:kern w:val="28"/>
        </w:rPr>
        <w:t>W ZWIĄZKU Z AGRESJĄ ROSJI WOBEC UKRAINY</w:t>
      </w:r>
    </w:p>
    <w:p w14:paraId="4B376BB3" w14:textId="77777777" w:rsidR="00AA5EE4" w:rsidRDefault="00AA5EE4" w:rsidP="00AA5EE4">
      <w:pPr>
        <w:pStyle w:val="Tekstpodstawowy"/>
        <w:jc w:val="center"/>
        <w:rPr>
          <w:rFonts w:ascii="Calibri" w:hAnsi="Calibri" w:cs="Calibri"/>
          <w:b/>
          <w:sz w:val="22"/>
        </w:rPr>
      </w:pPr>
    </w:p>
    <w:p w14:paraId="758BF7AC" w14:textId="23E1DE52" w:rsidR="00141C9F" w:rsidRPr="0002317C" w:rsidRDefault="00141C9F" w:rsidP="00141C9F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Projekt </w:t>
      </w:r>
      <w:bookmarkStart w:id="0" w:name="_Hlk113436768"/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>„</w:t>
      </w:r>
      <w:r w:rsidRPr="0002317C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RAZEM MOŻEMY WIĘCEJ – program wsparcia wojennych uchodźców z Ukrainy</w:t>
      </w:r>
      <w:bookmarkEnd w:id="0"/>
      <w:r w:rsidRPr="0002317C">
        <w:rPr>
          <w:rFonts w:asciiTheme="minorHAnsi" w:eastAsia="Times New Roman" w:hAnsiTheme="minorHAnsi" w:cstheme="minorHAnsi"/>
          <w:b/>
          <w:bCs/>
          <w:sz w:val="18"/>
          <w:szCs w:val="18"/>
          <w:lang w:eastAsia="ar-SA"/>
        </w:rPr>
        <w:t>”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 xml:space="preserve">realizowany w ramach „Razem możemy więcej - Pierwsza Edycja Programu Aktywizacyjnego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 xml:space="preserve">dla Cudzoziemców na lata 2022–2023” ogłoszonego w ramach Resortowego Programu Aktywizacyjnego </w:t>
      </w:r>
      <w:r w:rsidRPr="0002317C">
        <w:rPr>
          <w:rFonts w:asciiTheme="minorHAnsi" w:eastAsia="Times New Roman" w:hAnsiTheme="minorHAnsi" w:cstheme="minorHAnsi"/>
          <w:sz w:val="18"/>
          <w:szCs w:val="18"/>
          <w:lang w:eastAsia="ar-SA"/>
        </w:rPr>
        <w:br/>
        <w:t>dla Cudzoziemców na lata 2022–2025 finansowanego w 100% ze środków rezerwy Funduszu Pracy.</w:t>
      </w:r>
    </w:p>
    <w:p w14:paraId="52073180" w14:textId="77777777" w:rsidR="00AA5EE4" w:rsidRPr="007732FE" w:rsidRDefault="00AA5EE4" w:rsidP="00AA5EE4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</w:p>
    <w:p w14:paraId="0B1D3D22" w14:textId="77777777" w:rsidR="00264C7F" w:rsidRDefault="00264C7F" w:rsidP="00264C7F">
      <w:pPr>
        <w:pStyle w:val="Tekstpodstawowy"/>
        <w:jc w:val="center"/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64C7F" w14:paraId="2DDDB09C" w14:textId="77777777" w:rsidTr="00264C7F">
        <w:tc>
          <w:tcPr>
            <w:tcW w:w="9061" w:type="dxa"/>
            <w:shd w:val="clear" w:color="auto" w:fill="auto"/>
          </w:tcPr>
          <w:p w14:paraId="69138B8E" w14:textId="26173B28" w:rsidR="00264C7F" w:rsidRDefault="00264C7F" w:rsidP="00EB35CE">
            <w:pPr>
              <w:tabs>
                <w:tab w:val="left" w:pos="8505"/>
                <w:tab w:val="left" w:pos="13608"/>
              </w:tabs>
              <w:rPr>
                <w:rFonts w:eastAsia="Lucida Sans Unicode" w:cs="Calibri"/>
                <w:lang w:eastAsia="ar-SA"/>
              </w:rPr>
            </w:pPr>
            <w:r>
              <w:rPr>
                <w:rFonts w:eastAsia="Lucida Sans Unicode" w:cs="Calibri"/>
                <w:lang w:eastAsia="ar-SA"/>
              </w:rPr>
              <w:t xml:space="preserve">Nazwa Wykonawcy:  </w:t>
            </w:r>
          </w:p>
        </w:tc>
      </w:tr>
      <w:tr w:rsidR="00264C7F" w14:paraId="560453D7" w14:textId="77777777" w:rsidTr="00264C7F">
        <w:tc>
          <w:tcPr>
            <w:tcW w:w="9061" w:type="dxa"/>
            <w:shd w:val="clear" w:color="auto" w:fill="auto"/>
          </w:tcPr>
          <w:p w14:paraId="2CCD2B56" w14:textId="77777777" w:rsidR="00264C7F" w:rsidRDefault="00264C7F" w:rsidP="00EB35CE">
            <w:pPr>
              <w:tabs>
                <w:tab w:val="left" w:pos="8505"/>
                <w:tab w:val="left" w:pos="13608"/>
              </w:tabs>
              <w:rPr>
                <w:rFonts w:eastAsia="Lucida Sans Unicode" w:cs="Calibri"/>
                <w:lang w:eastAsia="ar-SA"/>
              </w:rPr>
            </w:pPr>
            <w:r>
              <w:rPr>
                <w:rFonts w:eastAsia="Lucida Sans Unicode" w:cs="Calibri"/>
                <w:lang w:eastAsia="ar-SA"/>
              </w:rPr>
              <w:t xml:space="preserve">NIP: </w:t>
            </w:r>
          </w:p>
        </w:tc>
      </w:tr>
      <w:tr w:rsidR="00264C7F" w14:paraId="51A5DA63" w14:textId="77777777" w:rsidTr="00264C7F">
        <w:tc>
          <w:tcPr>
            <w:tcW w:w="9061" w:type="dxa"/>
            <w:shd w:val="clear" w:color="auto" w:fill="auto"/>
          </w:tcPr>
          <w:p w14:paraId="7F113186" w14:textId="53B54139" w:rsidR="00264C7F" w:rsidRDefault="00264C7F" w:rsidP="00E17194">
            <w:pPr>
              <w:tabs>
                <w:tab w:val="left" w:pos="8505"/>
                <w:tab w:val="left" w:pos="13608"/>
              </w:tabs>
              <w:rPr>
                <w:rFonts w:eastAsia="Lucida Sans Unicode" w:cs="Calibr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ZAMÓWNIENIE: </w:t>
            </w:r>
            <w:r w:rsidR="00E17194" w:rsidRPr="00E17194">
              <w:rPr>
                <w:rFonts w:asciiTheme="minorHAnsi" w:eastAsia="Times New Roman" w:hAnsiTheme="minorHAnsi" w:cstheme="minorHAnsi"/>
                <w:lang w:eastAsia="ar-SA"/>
              </w:rPr>
              <w:t>organizacj</w:t>
            </w:r>
            <w:r w:rsidR="00E17194">
              <w:rPr>
                <w:rFonts w:asciiTheme="minorHAnsi" w:eastAsia="Times New Roman" w:hAnsiTheme="minorHAnsi" w:cstheme="minorHAnsi"/>
                <w:lang w:eastAsia="ar-SA"/>
              </w:rPr>
              <w:t>a</w:t>
            </w:r>
            <w:r w:rsidR="00E17194" w:rsidRPr="00E17194">
              <w:rPr>
                <w:rFonts w:asciiTheme="minorHAnsi" w:eastAsia="Times New Roman" w:hAnsiTheme="minorHAnsi" w:cstheme="minorHAnsi"/>
                <w:lang w:eastAsia="ar-SA"/>
              </w:rPr>
              <w:t xml:space="preserve"> spotkań i konferencji (wynajem </w:t>
            </w:r>
            <w:proofErr w:type="spellStart"/>
            <w:r w:rsidR="00E17194" w:rsidRPr="00E17194">
              <w:rPr>
                <w:rFonts w:asciiTheme="minorHAnsi" w:eastAsia="Times New Roman" w:hAnsiTheme="minorHAnsi" w:cstheme="minorHAnsi"/>
                <w:lang w:eastAsia="ar-SA"/>
              </w:rPr>
              <w:t>sal</w:t>
            </w:r>
            <w:proofErr w:type="spellEnd"/>
            <w:r w:rsidR="00E17194" w:rsidRPr="00E17194">
              <w:rPr>
                <w:rFonts w:asciiTheme="minorHAnsi" w:eastAsia="Times New Roman" w:hAnsiTheme="minorHAnsi" w:cstheme="minorHAnsi"/>
                <w:lang w:eastAsia="ar-SA"/>
              </w:rPr>
              <w:t xml:space="preserve"> na spotkania indywidualne wraz z zapewnieniem cateringu i tłumacza)</w:t>
            </w:r>
          </w:p>
        </w:tc>
      </w:tr>
    </w:tbl>
    <w:p w14:paraId="46F64420" w14:textId="77777777" w:rsidR="00264C7F" w:rsidRPr="00BB3D65" w:rsidRDefault="00264C7F" w:rsidP="00264C7F">
      <w:pPr>
        <w:spacing w:before="240"/>
        <w:rPr>
          <w:rFonts w:eastAsia="Lucida Sans Unicode" w:cs="Calibri"/>
          <w:lang w:eastAsia="ar-SA"/>
        </w:rPr>
      </w:pPr>
      <w:r w:rsidRPr="00BB3D65">
        <w:rPr>
          <w:rFonts w:eastAsia="Lucida Sans Unicode" w:cs="Calibri"/>
          <w:lang w:eastAsia="ar-SA"/>
        </w:rPr>
        <w:t>Oświadczam, że:</w:t>
      </w:r>
    </w:p>
    <w:p w14:paraId="70A04AA0" w14:textId="77777777" w:rsidR="00264C7F" w:rsidRDefault="00264C7F" w:rsidP="00264C7F">
      <w:pPr>
        <w:pStyle w:val="Akapitzlist"/>
        <w:spacing w:after="160"/>
        <w:ind w:left="0"/>
        <w:rPr>
          <w:rFonts w:eastAsia="Lucida Sans Unicode" w:cs="Calibri"/>
          <w:sz w:val="24"/>
          <w:szCs w:val="24"/>
          <w:lang w:eastAsia="ar-SA"/>
        </w:rPr>
      </w:pPr>
      <w:r w:rsidRPr="00BB3D65">
        <w:rPr>
          <w:rFonts w:eastAsia="Lucida Sans Unicode" w:cs="Calibri"/>
          <w:sz w:val="24"/>
          <w:szCs w:val="24"/>
          <w:lang w:eastAsia="ar-SA"/>
        </w:rPr>
        <w:t xml:space="preserve">wobec mnie jako </w:t>
      </w:r>
      <w:r>
        <w:rPr>
          <w:rFonts w:eastAsia="Lucida Sans Unicode" w:cs="Calibri"/>
          <w:sz w:val="24"/>
          <w:szCs w:val="24"/>
          <w:lang w:eastAsia="ar-SA"/>
        </w:rPr>
        <w:t xml:space="preserve">podmiotu realizującego zamówienie publiczne oraz podmiotów pozostających z moim przedsiębiorstwem w relacji przedsiębiorstw partnerskich/powiązanych,  </w:t>
      </w:r>
      <w:r w:rsidRPr="00BB3D65">
        <w:rPr>
          <w:rFonts w:eastAsia="Lucida Sans Unicode" w:cs="Calibri"/>
          <w:sz w:val="24"/>
          <w:szCs w:val="24"/>
          <w:lang w:eastAsia="ar-SA"/>
        </w:rPr>
        <w:t>nie występują okoliczności wskazane w:</w:t>
      </w:r>
    </w:p>
    <w:p w14:paraId="505BD582" w14:textId="77777777" w:rsidR="00264C7F" w:rsidRPr="00BB3D65" w:rsidRDefault="00264C7F" w:rsidP="00264C7F">
      <w:pPr>
        <w:pStyle w:val="Akapitzlist"/>
        <w:spacing w:after="160"/>
        <w:ind w:left="714"/>
        <w:rPr>
          <w:rFonts w:eastAsia="Lucida Sans Unicode" w:cs="Calibri"/>
          <w:sz w:val="24"/>
          <w:szCs w:val="24"/>
          <w:lang w:eastAsia="ar-SA"/>
        </w:rPr>
      </w:pPr>
    </w:p>
    <w:p w14:paraId="6E1ABFF4" w14:textId="77777777" w:rsidR="00264C7F" w:rsidRPr="00BB3D65" w:rsidRDefault="00264C7F" w:rsidP="00264C7F">
      <w:pPr>
        <w:pStyle w:val="Akapitzlist"/>
        <w:numPr>
          <w:ilvl w:val="0"/>
          <w:numId w:val="6"/>
        </w:numPr>
        <w:spacing w:before="240" w:after="0"/>
        <w:ind w:left="1071" w:hanging="787"/>
        <w:rPr>
          <w:rFonts w:eastAsia="Lucida Sans Unicode" w:cs="Calibri"/>
          <w:sz w:val="24"/>
          <w:szCs w:val="24"/>
          <w:lang w:eastAsia="ar-SA"/>
        </w:rPr>
      </w:pPr>
      <w:r w:rsidRPr="00BB3D65">
        <w:rPr>
          <w:rFonts w:eastAsia="Lucida Sans Unicode" w:cs="Calibri"/>
          <w:sz w:val="24"/>
          <w:szCs w:val="24"/>
          <w:lang w:eastAsia="ar-SA"/>
        </w:rPr>
        <w:t>art. 2 rozporządzenia Rady (WE) nr 765/2006</w:t>
      </w:r>
      <w:r w:rsidRPr="00BB3D65">
        <w:rPr>
          <w:rStyle w:val="Odwoanieprzypisudolnego"/>
          <w:rFonts w:eastAsia="Lucida Sans Unicode" w:cs="Calibri"/>
          <w:lang w:eastAsia="ar-SA"/>
        </w:rPr>
        <w:footnoteReference w:id="1"/>
      </w:r>
      <w:r w:rsidRPr="00BB3D65">
        <w:rPr>
          <w:rFonts w:eastAsia="Lucida Sans Unicode" w:cs="Calibri"/>
          <w:sz w:val="24"/>
          <w:szCs w:val="24"/>
          <w:lang w:eastAsia="ar-SA"/>
        </w:rPr>
        <w:t>, które skutkowałyby zakazem udostępnienia funduszy lub zasobów gospodarczych;</w:t>
      </w:r>
    </w:p>
    <w:p w14:paraId="1342EAC8" w14:textId="77777777" w:rsidR="00264C7F" w:rsidRPr="00BB3D65" w:rsidRDefault="00264C7F" w:rsidP="00264C7F">
      <w:pPr>
        <w:pStyle w:val="Akapitzlist"/>
        <w:numPr>
          <w:ilvl w:val="0"/>
          <w:numId w:val="6"/>
        </w:numPr>
        <w:spacing w:after="0"/>
        <w:ind w:left="1071" w:hanging="787"/>
        <w:rPr>
          <w:rFonts w:eastAsia="Lucida Sans Unicode" w:cs="Calibri"/>
          <w:sz w:val="24"/>
          <w:szCs w:val="24"/>
          <w:lang w:eastAsia="ar-SA"/>
        </w:rPr>
      </w:pPr>
      <w:r w:rsidRPr="00BB3D65">
        <w:rPr>
          <w:rFonts w:eastAsia="Lucida Sans Unicode" w:cs="Calibri"/>
          <w:sz w:val="24"/>
          <w:szCs w:val="24"/>
          <w:lang w:eastAsia="ar-SA"/>
        </w:rPr>
        <w:t>art. 2 i art. 9 rozporządzeń Rady: (UE) nr 269/2014</w:t>
      </w:r>
      <w:r w:rsidRPr="00BB3D65">
        <w:rPr>
          <w:rStyle w:val="Odwoanieprzypisudolnego"/>
          <w:rFonts w:eastAsia="Lucida Sans Unicode" w:cs="Calibri"/>
          <w:lang w:eastAsia="ar-SA"/>
        </w:rPr>
        <w:footnoteReference w:id="2"/>
      </w:r>
      <w:r w:rsidRPr="00BB3D65">
        <w:rPr>
          <w:rFonts w:eastAsia="Lucida Sans Unicode" w:cs="Calibri"/>
          <w:sz w:val="24"/>
          <w:szCs w:val="24"/>
          <w:lang w:eastAsia="ar-SA"/>
        </w:rPr>
        <w:t>, (UE) nr 208/2014</w:t>
      </w:r>
      <w:r w:rsidRPr="00BB3D65">
        <w:rPr>
          <w:rStyle w:val="Odwoanieprzypisudolnego"/>
          <w:rFonts w:eastAsia="Lucida Sans Unicode" w:cs="Calibri"/>
          <w:lang w:eastAsia="ar-SA"/>
        </w:rPr>
        <w:footnoteReference w:id="3"/>
      </w:r>
      <w:r w:rsidRPr="00BB3D65">
        <w:rPr>
          <w:rFonts w:eastAsia="Lucida Sans Unicode" w:cs="Calibri"/>
          <w:sz w:val="24"/>
          <w:szCs w:val="24"/>
          <w:lang w:eastAsia="ar-SA"/>
        </w:rPr>
        <w:t xml:space="preserve"> lub art. 2 </w:t>
      </w:r>
      <w:r w:rsidRPr="00BB3D65">
        <w:rPr>
          <w:rFonts w:eastAsia="Lucida Sans Unicode" w:cs="Calibri"/>
          <w:bCs/>
          <w:sz w:val="24"/>
          <w:szCs w:val="24"/>
          <w:lang w:eastAsia="ar-SA"/>
        </w:rPr>
        <w:t>decyzji Rady 2014/145/</w:t>
      </w:r>
      <w:proofErr w:type="spellStart"/>
      <w:r w:rsidRPr="00BB3D65">
        <w:rPr>
          <w:rFonts w:eastAsia="Lucida Sans Unicode" w:cs="Calibri"/>
          <w:bCs/>
          <w:sz w:val="24"/>
          <w:szCs w:val="24"/>
          <w:lang w:eastAsia="ar-SA"/>
        </w:rPr>
        <w:t>WPZiB</w:t>
      </w:r>
      <w:proofErr w:type="spellEnd"/>
      <w:r w:rsidRPr="00BB3D65">
        <w:rPr>
          <w:rStyle w:val="Odwoanieprzypisudolnego"/>
          <w:rFonts w:eastAsia="Lucida Sans Unicode" w:cs="Calibri"/>
          <w:lang w:eastAsia="ar-SA"/>
        </w:rPr>
        <w:footnoteReference w:id="4"/>
      </w:r>
      <w:r w:rsidRPr="00BB3D65">
        <w:rPr>
          <w:rFonts w:eastAsia="Lucida Sans Unicode" w:cs="Calibri"/>
          <w:sz w:val="24"/>
          <w:szCs w:val="24"/>
          <w:lang w:eastAsia="ar-SA"/>
        </w:rPr>
        <w:t>, które skutkowałyby zakazem udostępnienia środków finansowych lub zasobów gospodarczych;</w:t>
      </w:r>
    </w:p>
    <w:p w14:paraId="0935A6F1" w14:textId="77777777" w:rsidR="00264C7F" w:rsidRPr="00BB3D65" w:rsidRDefault="00264C7F" w:rsidP="00264C7F">
      <w:pPr>
        <w:pStyle w:val="Akapitzlist"/>
        <w:numPr>
          <w:ilvl w:val="0"/>
          <w:numId w:val="6"/>
        </w:numPr>
        <w:spacing w:after="0"/>
        <w:ind w:left="1071" w:hanging="787"/>
        <w:rPr>
          <w:rFonts w:eastAsia="Lucida Sans Unicode" w:cs="Calibri"/>
          <w:sz w:val="24"/>
          <w:szCs w:val="24"/>
          <w:lang w:eastAsia="ar-SA"/>
        </w:rPr>
      </w:pPr>
      <w:r w:rsidRPr="00BB3D65">
        <w:rPr>
          <w:rFonts w:eastAsia="Lucida Sans Unicode" w:cs="Calibri"/>
          <w:sz w:val="24"/>
          <w:szCs w:val="24"/>
          <w:lang w:eastAsia="ar-SA"/>
        </w:rPr>
        <w:lastRenderedPageBreak/>
        <w:t>art. 2 i 3 ustawy o szczególnych rozwiązaniach w zakresie przeciwdziałania wspieraniu agresji na Ukrainę</w:t>
      </w:r>
      <w:r w:rsidRPr="00BB3D65">
        <w:rPr>
          <w:rStyle w:val="Odwoanieprzypisudolnego"/>
          <w:rFonts w:eastAsia="Lucida Sans Unicode" w:cs="Calibri"/>
          <w:lang w:eastAsia="ar-SA"/>
        </w:rPr>
        <w:footnoteReference w:id="5"/>
      </w:r>
      <w:r w:rsidRPr="00BB3D65">
        <w:rPr>
          <w:rFonts w:eastAsia="Lucida Sans Unicode" w:cs="Calibri"/>
          <w:sz w:val="24"/>
          <w:szCs w:val="24"/>
          <w:lang w:eastAsia="ar-SA"/>
        </w:rPr>
        <w:t>, które skutkowałyby zakazem udostępnienia środków finansowych, funduszy lub zasobów gospodarczych;</w:t>
      </w:r>
    </w:p>
    <w:p w14:paraId="6A522C70" w14:textId="77777777" w:rsidR="00264C7F" w:rsidRDefault="00264C7F" w:rsidP="00264C7F">
      <w:pPr>
        <w:pStyle w:val="Akapitzlist"/>
        <w:spacing w:after="160"/>
        <w:ind w:left="1071"/>
        <w:rPr>
          <w:rFonts w:eastAsia="Lucida Sans Unicode" w:cs="Calibri"/>
          <w:sz w:val="24"/>
          <w:szCs w:val="24"/>
          <w:lang w:eastAsia="ar-SA"/>
        </w:rPr>
      </w:pPr>
    </w:p>
    <w:p w14:paraId="6D7FAA10" w14:textId="77777777" w:rsidR="00264C7F" w:rsidRDefault="00264C7F" w:rsidP="00264C7F">
      <w:pPr>
        <w:pStyle w:val="Akapitzlist"/>
        <w:spacing w:after="160"/>
        <w:ind w:left="1071"/>
        <w:rPr>
          <w:rFonts w:eastAsia="Lucida Sans Unicode" w:cs="Calibri"/>
          <w:sz w:val="24"/>
          <w:szCs w:val="24"/>
          <w:lang w:eastAsia="ar-SA"/>
        </w:rPr>
      </w:pPr>
    </w:p>
    <w:p w14:paraId="55AC1ECC" w14:textId="77777777" w:rsidR="00264C7F" w:rsidRDefault="00264C7F" w:rsidP="00264C7F">
      <w:pPr>
        <w:pStyle w:val="Akapitzlist"/>
        <w:numPr>
          <w:ilvl w:val="0"/>
          <w:numId w:val="6"/>
        </w:numPr>
        <w:spacing w:after="160"/>
        <w:ind w:left="1071" w:hanging="357"/>
        <w:rPr>
          <w:rFonts w:eastAsia="Lucida Sans Unicode" w:cs="Calibri"/>
          <w:sz w:val="24"/>
          <w:szCs w:val="24"/>
          <w:lang w:eastAsia="ar-SA"/>
        </w:rPr>
      </w:pPr>
      <w:r w:rsidRPr="00BB3D65">
        <w:rPr>
          <w:rFonts w:eastAsia="Lucida Sans Unicode" w:cs="Calibri"/>
          <w:sz w:val="24"/>
          <w:szCs w:val="24"/>
          <w:lang w:eastAsia="ar-SA"/>
        </w:rPr>
        <w:t>art. 5l rozporządzenia Rady (UE) nr 833/2014</w:t>
      </w:r>
      <w:r w:rsidRPr="00BB3D65">
        <w:rPr>
          <w:rStyle w:val="Odwoanieprzypisudolnego"/>
          <w:rFonts w:eastAsia="Lucida Sans Unicode" w:cs="Calibri"/>
          <w:lang w:eastAsia="ar-SA"/>
        </w:rPr>
        <w:footnoteReference w:id="6"/>
      </w:r>
      <w:r w:rsidRPr="00BB3D65">
        <w:rPr>
          <w:rFonts w:eastAsia="Lucida Sans Unicode" w:cs="Calibri"/>
          <w:sz w:val="24"/>
          <w:szCs w:val="24"/>
          <w:lang w:eastAsia="ar-SA"/>
        </w:rPr>
        <w:t xml:space="preserve">, które skutkowałyby zakazem </w:t>
      </w:r>
      <w:r w:rsidRPr="00BB3D65">
        <w:rPr>
          <w:rStyle w:val="markedcontent"/>
          <w:rFonts w:cs="Calibri"/>
          <w:sz w:val="24"/>
          <w:szCs w:val="24"/>
        </w:rPr>
        <w:t xml:space="preserve">udzielania </w:t>
      </w:r>
      <w:r w:rsidRPr="00BB3D65">
        <w:rPr>
          <w:rFonts w:eastAsia="Lucida Sans Unicode" w:cs="Calibri"/>
          <w:sz w:val="24"/>
          <w:szCs w:val="24"/>
          <w:lang w:eastAsia="ar-SA"/>
        </w:rPr>
        <w:t>bezpośredniego</w:t>
      </w:r>
      <w:r w:rsidRPr="00BB3D65">
        <w:rPr>
          <w:rStyle w:val="markedcontent"/>
          <w:rFonts w:cs="Calibri"/>
          <w:sz w:val="24"/>
          <w:szCs w:val="24"/>
        </w:rPr>
        <w:t xml:space="preserve"> lub </w:t>
      </w:r>
      <w:r w:rsidRPr="00BB3D65">
        <w:rPr>
          <w:rFonts w:eastAsia="Lucida Sans Unicode" w:cs="Calibri"/>
          <w:sz w:val="24"/>
          <w:szCs w:val="24"/>
          <w:lang w:eastAsia="ar-SA"/>
        </w:rPr>
        <w:t>pośredniego</w:t>
      </w:r>
      <w:r w:rsidRPr="00BB3D65">
        <w:rPr>
          <w:rStyle w:val="markedcontent"/>
          <w:rFonts w:cs="Calibri"/>
          <w:sz w:val="24"/>
          <w:szCs w:val="24"/>
        </w:rPr>
        <w:t xml:space="preserve"> wsparcia, w tym udzielenia finansowania i pomocy finansowej lub przyznania jakichkolwiek innych korzyści</w:t>
      </w:r>
      <w:r w:rsidRPr="00BB3D65">
        <w:rPr>
          <w:rFonts w:eastAsia="Lucida Sans Unicode" w:cs="Calibri"/>
          <w:sz w:val="24"/>
          <w:szCs w:val="24"/>
          <w:lang w:eastAsia="ar-SA"/>
        </w:rPr>
        <w:t xml:space="preserve"> w ramach krajowego programu;</w:t>
      </w:r>
    </w:p>
    <w:p w14:paraId="47266308" w14:textId="77777777" w:rsidR="00264C7F" w:rsidRPr="00BB3D65" w:rsidRDefault="00264C7F" w:rsidP="00264C7F">
      <w:pPr>
        <w:pStyle w:val="Akapitzlist"/>
        <w:spacing w:after="160"/>
        <w:ind w:left="1071"/>
        <w:rPr>
          <w:rFonts w:eastAsia="Lucida Sans Unicode" w:cs="Calibri"/>
          <w:sz w:val="24"/>
          <w:szCs w:val="24"/>
          <w:lang w:eastAsia="ar-SA"/>
        </w:rPr>
      </w:pPr>
    </w:p>
    <w:p w14:paraId="26B20B77" w14:textId="153E11BE" w:rsidR="00264C7F" w:rsidRDefault="00264C7F" w:rsidP="00264C7F">
      <w:pPr>
        <w:rPr>
          <w:rFonts w:eastAsia="Lucida Sans Unicode" w:cs="Calibri"/>
          <w:iCs/>
          <w:lang w:eastAsia="ar-SA"/>
        </w:rPr>
      </w:pPr>
      <w:r w:rsidRPr="00BB3D65">
        <w:rPr>
          <w:rFonts w:eastAsia="Lucida Sans Unicode" w:cs="Calibri"/>
          <w:iCs/>
          <w:lang w:eastAsia="ar-SA"/>
        </w:rPr>
        <w:t xml:space="preserve">Niżej podpisany(-a)(-i) oświadcza(-ją), że, zgodnie z jego(jej)(ich) najlepszą wiedzą, powyższe oświadczenie jest zgodne z prawdą i że zostało złożone ze świadomością konsekwencji wprowadzenia </w:t>
      </w:r>
      <w:r>
        <w:rPr>
          <w:rFonts w:eastAsia="Lucida Sans Unicode" w:cs="Calibri"/>
          <w:iCs/>
          <w:lang w:eastAsia="ar-SA"/>
        </w:rPr>
        <w:t>Zamawiającego w błąd.</w:t>
      </w:r>
    </w:p>
    <w:p w14:paraId="176E9ABE" w14:textId="77777777" w:rsidR="00264C7F" w:rsidRPr="00BB3D65" w:rsidRDefault="00264C7F" w:rsidP="00264C7F">
      <w:pPr>
        <w:rPr>
          <w:rFonts w:cs="Calibr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5098"/>
      </w:tblGrid>
      <w:tr w:rsidR="00264C7F" w14:paraId="16E09C32" w14:textId="77777777" w:rsidTr="00EB35CE">
        <w:trPr>
          <w:trHeight w:val="624"/>
          <w:jc w:val="center"/>
        </w:trPr>
        <w:tc>
          <w:tcPr>
            <w:tcW w:w="3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09331B95" w14:textId="77777777" w:rsidR="00264C7F" w:rsidRDefault="00264C7F" w:rsidP="00EB35CE">
            <w:pPr>
              <w:spacing w:after="0" w:line="256" w:lineRule="auto"/>
              <w:ind w:right="26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bCs/>
                <w:color w:val="000000"/>
                <w:sz w:val="18"/>
              </w:rPr>
              <w:t>Miejscowość i data:</w:t>
            </w: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08B5CB38" w14:textId="5346734F" w:rsidR="00264C7F" w:rsidRDefault="00264C7F" w:rsidP="00EB35CE">
            <w:pPr>
              <w:spacing w:after="0" w:line="256" w:lineRule="auto"/>
              <w:ind w:right="26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Podpis/y osoby/osób uprawnionych </w:t>
            </w:r>
            <w:r>
              <w:rPr>
                <w:rFonts w:cs="Calibri"/>
                <w:bCs/>
                <w:sz w:val="18"/>
                <w:szCs w:val="18"/>
              </w:rPr>
              <w:br/>
              <w:t xml:space="preserve">do reprezentowania Wykonawcy </w:t>
            </w:r>
          </w:p>
          <w:p w14:paraId="4141DDA3" w14:textId="77777777" w:rsidR="00264C7F" w:rsidRDefault="00264C7F" w:rsidP="00EB35CE">
            <w:pPr>
              <w:spacing w:after="0" w:line="256" w:lineRule="auto"/>
              <w:ind w:right="26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(podpis/y czytelny/e lub p</w:t>
            </w:r>
            <w:r>
              <w:rPr>
                <w:rFonts w:cs="Calibri"/>
                <w:bCs/>
                <w:sz w:val="18"/>
                <w:szCs w:val="18"/>
              </w:rPr>
              <w:t>ieczęć/i imienna/e i parafka/i)</w:t>
            </w:r>
          </w:p>
        </w:tc>
      </w:tr>
      <w:tr w:rsidR="00264C7F" w14:paraId="4BBBBE19" w14:textId="77777777" w:rsidTr="00EB35CE">
        <w:trPr>
          <w:trHeight w:val="745"/>
          <w:jc w:val="center"/>
        </w:trPr>
        <w:tc>
          <w:tcPr>
            <w:tcW w:w="3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4E5CF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1F810028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32EFBCB9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27D5E8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3D45F0CF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  <w:p w14:paraId="3F3412A3" w14:textId="77777777" w:rsidR="00264C7F" w:rsidRDefault="00264C7F" w:rsidP="00EB35CE">
            <w:pPr>
              <w:spacing w:after="0" w:line="256" w:lineRule="auto"/>
              <w:ind w:right="26"/>
              <w:rPr>
                <w:rFonts w:cs="Calibri"/>
              </w:rPr>
            </w:pPr>
          </w:p>
        </w:tc>
      </w:tr>
      <w:tr w:rsidR="00264C7F" w14:paraId="397E6087" w14:textId="77777777" w:rsidTr="00EB35CE">
        <w:trPr>
          <w:trHeight w:val="201"/>
          <w:jc w:val="center"/>
        </w:trPr>
        <w:tc>
          <w:tcPr>
            <w:tcW w:w="90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7C789879" w14:textId="0C330594" w:rsidR="00264C7F" w:rsidRDefault="00264C7F" w:rsidP="00EB35CE">
            <w:pPr>
              <w:spacing w:after="0" w:line="256" w:lineRule="auto"/>
              <w:ind w:right="26"/>
              <w:jc w:val="center"/>
              <w:rPr>
                <w:rFonts w:cs="Calibri"/>
                <w:bCs/>
                <w:color w:val="000000"/>
                <w:sz w:val="18"/>
              </w:rPr>
            </w:pPr>
            <w:r>
              <w:rPr>
                <w:rFonts w:cs="Calibri"/>
                <w:bCs/>
                <w:color w:val="000000"/>
                <w:sz w:val="18"/>
              </w:rPr>
              <w:t>Pieczęć Wykonawcy</w:t>
            </w:r>
          </w:p>
        </w:tc>
      </w:tr>
      <w:tr w:rsidR="00264C7F" w14:paraId="0036A7A4" w14:textId="77777777" w:rsidTr="00EB35CE">
        <w:trPr>
          <w:trHeight w:val="50"/>
          <w:jc w:val="center"/>
        </w:trPr>
        <w:tc>
          <w:tcPr>
            <w:tcW w:w="90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9FD93" w14:textId="77777777" w:rsidR="00264C7F" w:rsidRDefault="00264C7F" w:rsidP="00EB35CE">
            <w:pPr>
              <w:rPr>
                <w:rFonts w:cs="Calibri"/>
              </w:rPr>
            </w:pPr>
          </w:p>
          <w:p w14:paraId="7191C4C5" w14:textId="77777777" w:rsidR="00264C7F" w:rsidRDefault="00264C7F" w:rsidP="00EB35CE">
            <w:pPr>
              <w:rPr>
                <w:rFonts w:cs="Calibri"/>
              </w:rPr>
            </w:pPr>
          </w:p>
        </w:tc>
      </w:tr>
    </w:tbl>
    <w:p w14:paraId="4BC9EB9C" w14:textId="77777777" w:rsidR="00264C7F" w:rsidRPr="00BB3D65" w:rsidRDefault="00264C7F" w:rsidP="00264C7F">
      <w:pPr>
        <w:tabs>
          <w:tab w:val="left" w:pos="3060"/>
          <w:tab w:val="right" w:leader="dot" w:pos="9000"/>
        </w:tabs>
        <w:spacing w:before="240" w:after="120"/>
        <w:rPr>
          <w:rFonts w:cs="Calibri"/>
          <w:bCs/>
        </w:rPr>
      </w:pPr>
    </w:p>
    <w:p w14:paraId="473A7586" w14:textId="77777777" w:rsidR="00A32708" w:rsidRPr="00271261" w:rsidRDefault="00A32708" w:rsidP="00264C7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sectPr w:rsidR="00A32708" w:rsidRPr="00271261" w:rsidSect="004405F0">
      <w:footerReference w:type="default" r:id="rId7"/>
      <w:headerReference w:type="first" r:id="rId8"/>
      <w:pgSz w:w="11906" w:h="16838"/>
      <w:pgMar w:top="1417" w:right="1417" w:bottom="1417" w:left="1418" w:header="851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BDDC" w14:textId="77777777" w:rsidR="001318F8" w:rsidRDefault="001318F8" w:rsidP="00742C73">
      <w:pPr>
        <w:spacing w:after="0" w:line="240" w:lineRule="auto"/>
      </w:pPr>
      <w:r>
        <w:separator/>
      </w:r>
    </w:p>
  </w:endnote>
  <w:endnote w:type="continuationSeparator" w:id="0">
    <w:p w14:paraId="51A7324C" w14:textId="77777777" w:rsidR="001318F8" w:rsidRDefault="001318F8" w:rsidP="0074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73B2" w14:textId="77777777" w:rsidR="001B328E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0F22">
      <w:rPr>
        <w:noProof/>
      </w:rPr>
      <w:t>2</w:t>
    </w:r>
    <w:r>
      <w:rPr>
        <w:noProof/>
      </w:rPr>
      <w:fldChar w:fldCharType="end"/>
    </w:r>
  </w:p>
  <w:p w14:paraId="15285E71" w14:textId="77777777" w:rsidR="001B328E" w:rsidRDefault="001B3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2C5E" w14:textId="77777777" w:rsidR="001318F8" w:rsidRDefault="001318F8" w:rsidP="00742C73">
      <w:pPr>
        <w:spacing w:after="0" w:line="240" w:lineRule="auto"/>
      </w:pPr>
      <w:r>
        <w:separator/>
      </w:r>
    </w:p>
  </w:footnote>
  <w:footnote w:type="continuationSeparator" w:id="0">
    <w:p w14:paraId="15C4DA45" w14:textId="77777777" w:rsidR="001318F8" w:rsidRDefault="001318F8" w:rsidP="00742C73">
      <w:pPr>
        <w:spacing w:after="0" w:line="240" w:lineRule="auto"/>
      </w:pPr>
      <w:r>
        <w:continuationSeparator/>
      </w:r>
    </w:p>
  </w:footnote>
  <w:footnote w:id="1">
    <w:p w14:paraId="1C609FE2" w14:textId="77777777" w:rsidR="00264C7F" w:rsidRPr="00264C7F" w:rsidRDefault="00264C7F" w:rsidP="00264C7F">
      <w:pPr>
        <w:pStyle w:val="Tekstprzypisudolnego"/>
        <w:spacing w:line="276" w:lineRule="auto"/>
        <w:rPr>
          <w:rFonts w:cs="Calibri"/>
        </w:rPr>
      </w:pPr>
      <w:r w:rsidRPr="00264C7F">
        <w:rPr>
          <w:rStyle w:val="Odwoanieprzypisudolnego"/>
          <w:rFonts w:cs="Calibri"/>
          <w:sz w:val="18"/>
          <w:szCs w:val="18"/>
        </w:rPr>
        <w:footnoteRef/>
      </w:r>
      <w:r w:rsidRPr="00264C7F">
        <w:rPr>
          <w:rFonts w:cs="Calibri"/>
          <w:sz w:val="18"/>
          <w:szCs w:val="18"/>
        </w:rPr>
        <w:t xml:space="preserve"> </w:t>
      </w:r>
      <w:hyperlink r:id="rId1" w:history="1">
        <w:r w:rsidRPr="00264C7F">
          <w:rPr>
            <w:rStyle w:val="Hipercze"/>
            <w:rFonts w:cs="Calibri"/>
            <w:color w:val="auto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Pr="00264C7F">
          <w:rPr>
            <w:rStyle w:val="Hipercze"/>
            <w:rFonts w:cs="Calibri"/>
            <w:color w:val="auto"/>
          </w:rPr>
          <w:t>późn</w:t>
        </w:r>
        <w:proofErr w:type="spellEnd"/>
        <w:r w:rsidRPr="00264C7F">
          <w:rPr>
            <w:rStyle w:val="Hipercze"/>
            <w:rFonts w:cs="Calibri"/>
            <w:color w:val="auto"/>
          </w:rPr>
          <w:t>. zm.).</w:t>
        </w:r>
      </w:hyperlink>
    </w:p>
  </w:footnote>
  <w:footnote w:id="2">
    <w:p w14:paraId="41E26BA8" w14:textId="77777777" w:rsidR="00264C7F" w:rsidRPr="00264C7F" w:rsidRDefault="00264C7F" w:rsidP="00264C7F">
      <w:pPr>
        <w:pStyle w:val="Tekstprzypisudolnego"/>
        <w:spacing w:line="276" w:lineRule="auto"/>
        <w:rPr>
          <w:rFonts w:cs="Calibri"/>
        </w:rPr>
      </w:pPr>
      <w:r w:rsidRPr="00264C7F">
        <w:rPr>
          <w:rStyle w:val="Odwoanieprzypisudolnego"/>
          <w:rFonts w:cs="Calibri"/>
        </w:rPr>
        <w:footnoteRef/>
      </w:r>
      <w:r w:rsidRPr="00264C7F">
        <w:rPr>
          <w:rFonts w:cs="Calibri"/>
        </w:rPr>
        <w:t xml:space="preserve"> </w:t>
      </w:r>
      <w:hyperlink r:id="rId2" w:history="1">
        <w:r w:rsidRPr="00264C7F">
          <w:rPr>
            <w:rStyle w:val="Hipercze"/>
            <w:rFonts w:cs="Calibri"/>
            <w:color w:val="auto"/>
          </w:rPr>
          <w:t xml:space="preserve">Rozporządzenie Rady (UE) nr 269/2014 z dnia 17 marca 2014 r. w sprawie środków ograniczających w odniesieniu do działań podważających integralność terytorialną, suwerenność i niezależność Ukrainy lub im zagrażających (Dz. Urz. UE L 78 z 17 marca 2014 r., s. 6, z </w:t>
        </w:r>
        <w:proofErr w:type="spellStart"/>
        <w:r w:rsidRPr="00264C7F">
          <w:rPr>
            <w:rStyle w:val="Hipercze"/>
            <w:rFonts w:cs="Calibri"/>
            <w:color w:val="auto"/>
          </w:rPr>
          <w:t>późn</w:t>
        </w:r>
        <w:proofErr w:type="spellEnd"/>
        <w:r w:rsidRPr="00264C7F">
          <w:rPr>
            <w:rStyle w:val="Hipercze"/>
            <w:rFonts w:cs="Calibri"/>
            <w:color w:val="auto"/>
          </w:rPr>
          <w:t>. zm.).</w:t>
        </w:r>
      </w:hyperlink>
    </w:p>
  </w:footnote>
  <w:footnote w:id="3">
    <w:p w14:paraId="2648DB9B" w14:textId="77777777" w:rsidR="00264C7F" w:rsidRPr="00264C7F" w:rsidRDefault="00264C7F" w:rsidP="00264C7F">
      <w:pPr>
        <w:pStyle w:val="Tekstprzypisudolnego"/>
        <w:spacing w:line="276" w:lineRule="auto"/>
        <w:rPr>
          <w:rFonts w:cs="Calibri"/>
        </w:rPr>
      </w:pPr>
      <w:r w:rsidRPr="00264C7F">
        <w:rPr>
          <w:rStyle w:val="Odwoanieprzypisudolnego"/>
          <w:rFonts w:cs="Calibri"/>
        </w:rPr>
        <w:footnoteRef/>
      </w:r>
      <w:r w:rsidRPr="00264C7F">
        <w:rPr>
          <w:rFonts w:cs="Calibri"/>
        </w:rPr>
        <w:t xml:space="preserve"> </w:t>
      </w:r>
      <w:hyperlink r:id="rId3" w:history="1">
        <w:r w:rsidRPr="00264C7F">
          <w:rPr>
            <w:rStyle w:val="Hipercze"/>
            <w:rFonts w:cs="Calibri"/>
            <w:bCs/>
            <w:color w:val="auto"/>
          </w:rPr>
          <w:t xml:space="preserve">Rozporządzenie Rady (UE) nr 208/2014 z dnia 5 marca 2014 r. </w:t>
        </w:r>
        <w:r w:rsidRPr="00264C7F">
          <w:rPr>
            <w:rStyle w:val="Hipercze"/>
            <w:rFonts w:cs="Calibri"/>
            <w:color w:val="auto"/>
          </w:rPr>
          <w:t>w sprawie środków ograniczających skierowanych przeciwko niektórym osobom, podmiotom i organom w związku z sytuacją na Ukrainie (Dz. Urz. UE L 66 z 6 marca 2014 r., s. 1, z </w:t>
        </w:r>
        <w:proofErr w:type="spellStart"/>
        <w:r w:rsidRPr="00264C7F">
          <w:rPr>
            <w:rStyle w:val="Hipercze"/>
            <w:rFonts w:cs="Calibri"/>
            <w:color w:val="auto"/>
          </w:rPr>
          <w:t>późn</w:t>
        </w:r>
        <w:proofErr w:type="spellEnd"/>
        <w:r w:rsidRPr="00264C7F">
          <w:rPr>
            <w:rStyle w:val="Hipercze"/>
            <w:rFonts w:cs="Calibri"/>
            <w:color w:val="auto"/>
          </w:rPr>
          <w:t>. zm.).</w:t>
        </w:r>
      </w:hyperlink>
    </w:p>
  </w:footnote>
  <w:footnote w:id="4">
    <w:p w14:paraId="541D9F66" w14:textId="77777777" w:rsidR="00264C7F" w:rsidRPr="00264C7F" w:rsidRDefault="00264C7F" w:rsidP="00264C7F">
      <w:pPr>
        <w:pStyle w:val="Tekstprzypisudolnego"/>
        <w:spacing w:line="276" w:lineRule="auto"/>
        <w:rPr>
          <w:rFonts w:cs="Calibri"/>
        </w:rPr>
      </w:pPr>
      <w:r w:rsidRPr="00264C7F">
        <w:rPr>
          <w:rStyle w:val="Odwoanieprzypisudolnego"/>
          <w:rFonts w:cs="Calibri"/>
        </w:rPr>
        <w:footnoteRef/>
      </w:r>
      <w:r w:rsidRPr="00264C7F">
        <w:rPr>
          <w:rFonts w:cs="Calibri"/>
        </w:rPr>
        <w:t xml:space="preserve"> </w:t>
      </w:r>
      <w:hyperlink r:id="rId4" w:history="1">
        <w:r w:rsidRPr="00264C7F">
          <w:rPr>
            <w:rStyle w:val="Hipercze"/>
            <w:rFonts w:cs="Calibri"/>
            <w:bCs/>
            <w:color w:val="auto"/>
          </w:rPr>
          <w:t>Decyzja Rady 2014/145/</w:t>
        </w:r>
        <w:proofErr w:type="spellStart"/>
        <w:r w:rsidRPr="00264C7F">
          <w:rPr>
            <w:rStyle w:val="Hipercze"/>
            <w:rFonts w:cs="Calibri"/>
            <w:bCs/>
            <w:color w:val="auto"/>
          </w:rPr>
          <w:t>WPZiB</w:t>
        </w:r>
        <w:proofErr w:type="spellEnd"/>
        <w:r w:rsidRPr="00264C7F">
          <w:rPr>
            <w:rStyle w:val="Hipercze"/>
            <w:rFonts w:cs="Calibri"/>
            <w:bCs/>
            <w:color w:val="auto"/>
          </w:rPr>
          <w:t xml:space="preserve"> z dnia 17 marca 2014 r. </w:t>
        </w:r>
        <w:r w:rsidRPr="00264C7F">
          <w:rPr>
            <w:rStyle w:val="Hipercze"/>
            <w:rFonts w:cs="Calibri"/>
            <w:color w:val="auto"/>
          </w:rPr>
          <w:t xml:space="preserve">w sprawie środków ograniczających w związku z działaniami podważającymi integralność terytorialną, suwerenność i niezależność Ukrainy lub im zagrażającymi (Dz. Urz. UE L 78 z 17 marca 2014 r., s. 16, z </w:t>
        </w:r>
        <w:proofErr w:type="spellStart"/>
        <w:r w:rsidRPr="00264C7F">
          <w:rPr>
            <w:rStyle w:val="Hipercze"/>
            <w:rFonts w:cs="Calibri"/>
            <w:color w:val="auto"/>
          </w:rPr>
          <w:t>późn</w:t>
        </w:r>
        <w:proofErr w:type="spellEnd"/>
        <w:r w:rsidRPr="00264C7F">
          <w:rPr>
            <w:rStyle w:val="Hipercze"/>
            <w:rFonts w:cs="Calibri"/>
            <w:color w:val="auto"/>
          </w:rPr>
          <w:t>. zm.).</w:t>
        </w:r>
      </w:hyperlink>
    </w:p>
  </w:footnote>
  <w:footnote w:id="5">
    <w:p w14:paraId="0F7900F2" w14:textId="77777777" w:rsidR="00264C7F" w:rsidRPr="00264C7F" w:rsidRDefault="00264C7F" w:rsidP="00264C7F">
      <w:pPr>
        <w:pStyle w:val="Tekstprzypisudolnego"/>
        <w:spacing w:line="276" w:lineRule="auto"/>
        <w:rPr>
          <w:rFonts w:cs="Calibri"/>
        </w:rPr>
      </w:pPr>
      <w:r w:rsidRPr="00264C7F">
        <w:rPr>
          <w:rStyle w:val="Odwoanieprzypisudolnego"/>
          <w:rFonts w:cs="Calibri"/>
        </w:rPr>
        <w:footnoteRef/>
      </w:r>
      <w:r w:rsidRPr="00264C7F">
        <w:rPr>
          <w:rFonts w:cs="Calibri"/>
        </w:rPr>
        <w:t xml:space="preserve"> </w:t>
      </w:r>
      <w:hyperlink r:id="rId5" w:history="1">
        <w:r w:rsidRPr="00264C7F">
          <w:rPr>
            <w:rStyle w:val="Hipercze"/>
            <w:rFonts w:eastAsia="Lucida Sans Unicode" w:cs="Calibri"/>
            <w:color w:val="auto"/>
            <w:lang w:eastAsia="ar-SA"/>
          </w:rPr>
          <w:t>Ustawa z dnia 13 kwietnia 2022 r. o szczególnych rozwiązaniach w zakresie przeciwdziałania wspieraniu agresji na Ukrainę oraz służących ochronie bezpieczeństwa narodowego (Dz. U. poz. 835).</w:t>
        </w:r>
      </w:hyperlink>
    </w:p>
  </w:footnote>
  <w:footnote w:id="6">
    <w:p w14:paraId="3026052E" w14:textId="77777777" w:rsidR="00264C7F" w:rsidRPr="00264C7F" w:rsidRDefault="00264C7F" w:rsidP="00264C7F">
      <w:pPr>
        <w:pStyle w:val="Tekstprzypisudolnego"/>
        <w:spacing w:line="276" w:lineRule="auto"/>
        <w:rPr>
          <w:rFonts w:cs="Calibri"/>
          <w:sz w:val="18"/>
          <w:szCs w:val="18"/>
        </w:rPr>
      </w:pPr>
      <w:r w:rsidRPr="00264C7F">
        <w:rPr>
          <w:rStyle w:val="Odwoanieprzypisudolnego"/>
          <w:rFonts w:cs="Calibri"/>
        </w:rPr>
        <w:footnoteRef/>
      </w:r>
      <w:r w:rsidRPr="00264C7F">
        <w:rPr>
          <w:rFonts w:cs="Calibri"/>
        </w:rPr>
        <w:t xml:space="preserve"> </w:t>
      </w:r>
      <w:hyperlink r:id="rId6" w:history="1">
        <w:r w:rsidRPr="00264C7F">
          <w:rPr>
            <w:rStyle w:val="Hipercze"/>
            <w:rFonts w:cs="Calibri"/>
            <w:color w:val="auto"/>
          </w:rPr>
          <w:t xml:space="preserve">Rozporządzenie Rady (UE) nr 833/2014 z dnia 31 lipca 2014 r. dotyczące środków ograniczających w związku z działaniami Rosji destabilizującymi sytuację na Ukrainie (Dz. Urz. UE L 229 z 31 lipca 2014 r., s. 1, z </w:t>
        </w:r>
        <w:proofErr w:type="spellStart"/>
        <w:r w:rsidRPr="00264C7F">
          <w:rPr>
            <w:rStyle w:val="Hipercze"/>
            <w:rFonts w:cs="Calibri"/>
            <w:color w:val="auto"/>
          </w:rPr>
          <w:t>późn</w:t>
        </w:r>
        <w:proofErr w:type="spellEnd"/>
        <w:r w:rsidRPr="00264C7F">
          <w:rPr>
            <w:rStyle w:val="Hipercze"/>
            <w:rFonts w:cs="Calibri"/>
            <w:color w:val="auto"/>
          </w:rPr>
          <w:t>. zm.).</w:t>
        </w:r>
      </w:hyperlink>
      <w:r w:rsidRPr="00264C7F">
        <w:rPr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089D" w14:textId="1D622769" w:rsidR="004405F0" w:rsidRDefault="004405F0" w:rsidP="004405F0">
    <w:pPr>
      <w:pStyle w:val="Nagwek"/>
      <w:jc w:val="center"/>
    </w:pPr>
    <w:r w:rsidRPr="00EC12A5">
      <w:rPr>
        <w:noProof/>
      </w:rPr>
      <w:drawing>
        <wp:inline distT="0" distB="0" distL="0" distR="0" wp14:anchorId="25016CEF" wp14:editId="689E5650">
          <wp:extent cx="1752600" cy="58102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Pr="00EC12A5">
      <w:rPr>
        <w:noProof/>
      </w:rPr>
      <w:drawing>
        <wp:inline distT="0" distB="0" distL="0" distR="0" wp14:anchorId="42BCE3BE" wp14:editId="7CA1F409">
          <wp:extent cx="1247775" cy="552450"/>
          <wp:effectExtent l="0" t="0" r="9525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8" t="23491" r="17709" b="2724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Pr="00EC12A5">
      <w:rPr>
        <w:noProof/>
      </w:rPr>
      <w:drawing>
        <wp:inline distT="0" distB="0" distL="0" distR="0" wp14:anchorId="6379BE79" wp14:editId="6AECAA2F">
          <wp:extent cx="1876425" cy="485775"/>
          <wp:effectExtent l="0" t="0" r="9525" b="952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D4955" w14:textId="77777777" w:rsidR="004405F0" w:rsidRDefault="004405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B2C3E8E"/>
    <w:multiLevelType w:val="hybridMultilevel"/>
    <w:tmpl w:val="1C8EE740"/>
    <w:lvl w:ilvl="0" w:tplc="72860B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A1291"/>
    <w:multiLevelType w:val="hybridMultilevel"/>
    <w:tmpl w:val="14C06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06F2F37"/>
    <w:multiLevelType w:val="hybridMultilevel"/>
    <w:tmpl w:val="29FAC16E"/>
    <w:lvl w:ilvl="0" w:tplc="430C971E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627358">
    <w:abstractNumId w:val="4"/>
  </w:num>
  <w:num w:numId="2" w16cid:durableId="1290823169">
    <w:abstractNumId w:val="1"/>
  </w:num>
  <w:num w:numId="3" w16cid:durableId="1601792672">
    <w:abstractNumId w:val="3"/>
  </w:num>
  <w:num w:numId="4" w16cid:durableId="782967924">
    <w:abstractNumId w:val="2"/>
  </w:num>
  <w:num w:numId="5" w16cid:durableId="740370208">
    <w:abstractNumId w:val="5"/>
  </w:num>
  <w:num w:numId="6" w16cid:durableId="44558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73"/>
    <w:rsid w:val="00026E81"/>
    <w:rsid w:val="00030288"/>
    <w:rsid w:val="00054A54"/>
    <w:rsid w:val="00086712"/>
    <w:rsid w:val="00096C1E"/>
    <w:rsid w:val="000A3E3D"/>
    <w:rsid w:val="000B5F9E"/>
    <w:rsid w:val="00124C1C"/>
    <w:rsid w:val="001318F8"/>
    <w:rsid w:val="00141C9F"/>
    <w:rsid w:val="00195C9D"/>
    <w:rsid w:val="001A26E0"/>
    <w:rsid w:val="001B328E"/>
    <w:rsid w:val="001D4552"/>
    <w:rsid w:val="001E7EBE"/>
    <w:rsid w:val="001F0451"/>
    <w:rsid w:val="00264C7F"/>
    <w:rsid w:val="00271261"/>
    <w:rsid w:val="00286114"/>
    <w:rsid w:val="00296776"/>
    <w:rsid w:val="002A52FC"/>
    <w:rsid w:val="002A78CD"/>
    <w:rsid w:val="002C5C5A"/>
    <w:rsid w:val="002D2409"/>
    <w:rsid w:val="002D4FA5"/>
    <w:rsid w:val="00317C3C"/>
    <w:rsid w:val="00334FD7"/>
    <w:rsid w:val="0033656C"/>
    <w:rsid w:val="00350F6A"/>
    <w:rsid w:val="00362F52"/>
    <w:rsid w:val="00376F07"/>
    <w:rsid w:val="00382F0C"/>
    <w:rsid w:val="00386407"/>
    <w:rsid w:val="003E1A53"/>
    <w:rsid w:val="003F7969"/>
    <w:rsid w:val="00402009"/>
    <w:rsid w:val="00411D56"/>
    <w:rsid w:val="00424864"/>
    <w:rsid w:val="00430F22"/>
    <w:rsid w:val="00434EE6"/>
    <w:rsid w:val="004405F0"/>
    <w:rsid w:val="00476176"/>
    <w:rsid w:val="0049064A"/>
    <w:rsid w:val="004C189E"/>
    <w:rsid w:val="004D2515"/>
    <w:rsid w:val="004D3F4E"/>
    <w:rsid w:val="00516C55"/>
    <w:rsid w:val="00517E6D"/>
    <w:rsid w:val="00521D06"/>
    <w:rsid w:val="0053042C"/>
    <w:rsid w:val="00534BF2"/>
    <w:rsid w:val="00575922"/>
    <w:rsid w:val="005D30CF"/>
    <w:rsid w:val="005E0E64"/>
    <w:rsid w:val="005F0B7D"/>
    <w:rsid w:val="005F1AD5"/>
    <w:rsid w:val="00600E40"/>
    <w:rsid w:val="006077C0"/>
    <w:rsid w:val="00680B39"/>
    <w:rsid w:val="00683342"/>
    <w:rsid w:val="00716534"/>
    <w:rsid w:val="00742C73"/>
    <w:rsid w:val="00781124"/>
    <w:rsid w:val="007A75DD"/>
    <w:rsid w:val="007B1E85"/>
    <w:rsid w:val="007F4C81"/>
    <w:rsid w:val="008248DC"/>
    <w:rsid w:val="00825C95"/>
    <w:rsid w:val="0083662E"/>
    <w:rsid w:val="008664B9"/>
    <w:rsid w:val="008672DF"/>
    <w:rsid w:val="008B2343"/>
    <w:rsid w:val="008E23D1"/>
    <w:rsid w:val="008E63FC"/>
    <w:rsid w:val="008F3FE6"/>
    <w:rsid w:val="00905F5E"/>
    <w:rsid w:val="009238CF"/>
    <w:rsid w:val="00965C6E"/>
    <w:rsid w:val="0099651B"/>
    <w:rsid w:val="009B6803"/>
    <w:rsid w:val="009E2676"/>
    <w:rsid w:val="009F1FFA"/>
    <w:rsid w:val="009F4AE9"/>
    <w:rsid w:val="00A32708"/>
    <w:rsid w:val="00A56F0F"/>
    <w:rsid w:val="00A671DF"/>
    <w:rsid w:val="00A9526C"/>
    <w:rsid w:val="00AA5EE4"/>
    <w:rsid w:val="00AD26BB"/>
    <w:rsid w:val="00AF0B6F"/>
    <w:rsid w:val="00B41C12"/>
    <w:rsid w:val="00B437B3"/>
    <w:rsid w:val="00B6217A"/>
    <w:rsid w:val="00B631F5"/>
    <w:rsid w:val="00B7745C"/>
    <w:rsid w:val="00B80032"/>
    <w:rsid w:val="00BB7E68"/>
    <w:rsid w:val="00BC25C1"/>
    <w:rsid w:val="00BF60E9"/>
    <w:rsid w:val="00C1741B"/>
    <w:rsid w:val="00C50D44"/>
    <w:rsid w:val="00C553E1"/>
    <w:rsid w:val="00C82CD8"/>
    <w:rsid w:val="00C91D5B"/>
    <w:rsid w:val="00C92944"/>
    <w:rsid w:val="00CB4D8D"/>
    <w:rsid w:val="00CE3C77"/>
    <w:rsid w:val="00CE5D87"/>
    <w:rsid w:val="00CF283D"/>
    <w:rsid w:val="00D16B59"/>
    <w:rsid w:val="00D527F0"/>
    <w:rsid w:val="00D52A07"/>
    <w:rsid w:val="00D64F24"/>
    <w:rsid w:val="00DB1F76"/>
    <w:rsid w:val="00E03E9B"/>
    <w:rsid w:val="00E17194"/>
    <w:rsid w:val="00E32951"/>
    <w:rsid w:val="00E37562"/>
    <w:rsid w:val="00E636C8"/>
    <w:rsid w:val="00E840B7"/>
    <w:rsid w:val="00EA7043"/>
    <w:rsid w:val="00EC0E52"/>
    <w:rsid w:val="00F501DE"/>
    <w:rsid w:val="00F54626"/>
    <w:rsid w:val="00F57260"/>
    <w:rsid w:val="00F63336"/>
    <w:rsid w:val="00F701D8"/>
    <w:rsid w:val="00F870AC"/>
    <w:rsid w:val="00F95B0C"/>
    <w:rsid w:val="00FC28E8"/>
    <w:rsid w:val="00FC7B16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"/>
    </o:shapedefaults>
    <o:shapelayout v:ext="edit">
      <o:idmap v:ext="edit" data="2"/>
    </o:shapelayout>
  </w:shapeDefaults>
  <w:decimalSymbol w:val=","/>
  <w:listSeparator w:val=";"/>
  <w14:docId w14:val="2D359036"/>
  <w15:docId w15:val="{2472BF52-675F-4937-A72D-B1602A0C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8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73"/>
  </w:style>
  <w:style w:type="paragraph" w:styleId="Stopka">
    <w:name w:val="footer"/>
    <w:basedOn w:val="Normalny"/>
    <w:link w:val="StopkaZnak"/>
    <w:uiPriority w:val="99"/>
    <w:unhideWhenUsed/>
    <w:rsid w:val="007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73"/>
  </w:style>
  <w:style w:type="character" w:styleId="Hipercze">
    <w:name w:val="Hyperlink"/>
    <w:basedOn w:val="Domylnaczcionkaakapitu"/>
    <w:uiPriority w:val="99"/>
    <w:unhideWhenUsed/>
    <w:rsid w:val="00742C73"/>
    <w:rPr>
      <w:color w:val="0000FF"/>
      <w:u w:val="single"/>
    </w:rPr>
  </w:style>
  <w:style w:type="paragraph" w:customStyle="1" w:styleId="Default">
    <w:name w:val="Default"/>
    <w:rsid w:val="00A327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405F0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AA5EE4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AA5EE4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AA5EE4"/>
    <w:rPr>
      <w:rFonts w:ascii="Times New Roman" w:eastAsia="Times New Roman" w:hAnsi="Times New Roman"/>
      <w:sz w:val="24"/>
      <w:szCs w:val="24"/>
      <w:lang w:val="x-non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1"/>
    <w:uiPriority w:val="99"/>
    <w:rsid w:val="00264C7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64C7F"/>
    <w:rPr>
      <w:lang w:eastAsia="en-US"/>
    </w:rPr>
  </w:style>
  <w:style w:type="character" w:customStyle="1" w:styleId="TekstprzypisudolnegoZnak1">
    <w:name w:val="Tekst przypisu dolnego Znak1"/>
    <w:aliases w:val="Podrozdział Znak1,Footnote Znak,Podrozdział Znak Znak,Podrozdzia3 Znak"/>
    <w:link w:val="Tekstprzypisudolnego"/>
    <w:uiPriority w:val="99"/>
    <w:locked/>
    <w:rsid w:val="00264C7F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unhideWhenUsed/>
    <w:rsid w:val="00264C7F"/>
    <w:rPr>
      <w:vertAlign w:val="superscript"/>
    </w:rPr>
  </w:style>
  <w:style w:type="character" w:customStyle="1" w:styleId="markedcontent">
    <w:name w:val="markedcontent"/>
    <w:rsid w:val="0026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PDF/?uri=CELEX:02014R0208-20220413&amp;from=EN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5" Type="http://schemas.openxmlformats.org/officeDocument/2006/relationships/hyperlink" Target="https://isap.sejm.gov.pl/isap.nsf/download.xsp/WDU20220000835/T/D20220835L.pdf" TargetMode="External"/><Relationship Id="rId4" Type="http://schemas.openxmlformats.org/officeDocument/2006/relationships/hyperlink" Target="https://eur-lex.europa.eu/legal-content/PL/TXT/PDF/?uri=CELEX:02014D0145-20220604&amp;from=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mszulc</dc:creator>
  <cp:keywords/>
  <dc:description/>
  <cp:lastModifiedBy>Alicja Strzelczak</cp:lastModifiedBy>
  <cp:revision>2</cp:revision>
  <cp:lastPrinted>2012-08-23T08:33:00Z</cp:lastPrinted>
  <dcterms:created xsi:type="dcterms:W3CDTF">2022-09-20T07:40:00Z</dcterms:created>
  <dcterms:modified xsi:type="dcterms:W3CDTF">2022-09-20T07:40:00Z</dcterms:modified>
</cp:coreProperties>
</file>