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46F9A" w14:textId="77777777" w:rsidR="008D1C3E" w:rsidRPr="00026194" w:rsidRDefault="008D1C3E" w:rsidP="008D1C3E">
      <w:pPr>
        <w:spacing w:after="120"/>
        <w:jc w:val="both"/>
        <w:rPr>
          <w:b/>
        </w:rPr>
      </w:pPr>
      <w:r w:rsidRPr="00026194">
        <w:rPr>
          <w:b/>
        </w:rPr>
        <w:t>1</w:t>
      </w:r>
      <w:r>
        <w:rPr>
          <w:b/>
        </w:rPr>
        <w:t>7.11</w:t>
      </w:r>
      <w:r w:rsidRPr="00026194">
        <w:rPr>
          <w:b/>
        </w:rPr>
        <w:t xml:space="preserve">.2021 Eksport i import w okresie styczeń – </w:t>
      </w:r>
      <w:r>
        <w:rPr>
          <w:b/>
        </w:rPr>
        <w:t>wrzesień</w:t>
      </w:r>
      <w:r w:rsidRPr="00026194">
        <w:rPr>
          <w:b/>
        </w:rPr>
        <w:t xml:space="preserve"> 2021 roku</w:t>
      </w:r>
    </w:p>
    <w:p w14:paraId="1EFA303A" w14:textId="77777777" w:rsidR="008D1C3E" w:rsidRPr="00026194" w:rsidRDefault="008D1C3E" w:rsidP="008D1C3E">
      <w:pPr>
        <w:spacing w:after="120"/>
        <w:jc w:val="both"/>
      </w:pPr>
      <w:r w:rsidRPr="00026194">
        <w:t xml:space="preserve">Główny Urząd Statystyczny zaprezentował dane o obrotach towarowych handlu zagranicznego ogółem i według krajów w okresie styczeń </w:t>
      </w:r>
      <w:r w:rsidRPr="006E4626">
        <w:t>–</w:t>
      </w:r>
      <w:r w:rsidRPr="00026194">
        <w:t xml:space="preserve"> </w:t>
      </w:r>
      <w:r>
        <w:t>wrzesień</w:t>
      </w:r>
      <w:r w:rsidRPr="006E4626">
        <w:t xml:space="preserve"> </w:t>
      </w:r>
      <w:r w:rsidRPr="00026194">
        <w:t xml:space="preserve">2021 roku. </w:t>
      </w:r>
    </w:p>
    <w:p w14:paraId="7F18ED45" w14:textId="77777777" w:rsidR="008D1C3E" w:rsidRPr="00026194" w:rsidRDefault="008D1C3E" w:rsidP="008D1C3E">
      <w:pPr>
        <w:spacing w:after="120"/>
        <w:jc w:val="both"/>
      </w:pPr>
      <w:r w:rsidRPr="00026194">
        <w:t>Po wyjątkowo trudnym początku roku, kiedy aura była wyjątkowo niesprzyjająca handlowcom i logistykom, wiosna przyniosła odrobienie większości z tych zaległości. Z pewnością na statystyki miała też pozytywny wpływ postępująca stopniowo normalizacja na granicy UE – UK. W części gospodarek mocniej zarysowały się też scenariusze uruchamiania aktywności gospodarczej po pandemii. Zwraca uwagę pojawiająca się u części naszych odbiorców tendencja, pracowania na większym niż niegdyś poziomie zapasów - tak wyrobów gotowych, jak i komponentów potrzebnych do dalszej produkcji. Dla statystyk porównujących wyniki bieżące z tymi sprzed roku istotne było wejście w echo skrajnie falującej bazy sprzed roku (na kwiecień 2020 przypadł szczyt załamania aktywności gospodarczej związany z pandemią, na maj pierwsze odreagowanie wcześniejszych spadków</w:t>
      </w:r>
      <w:r w:rsidRPr="006E4626">
        <w:t>, w czerwcu zaś obserwowano już dodatnią roczną dynamikę eksportu</w:t>
      </w:r>
      <w:r w:rsidRPr="00026194">
        <w:t>).</w:t>
      </w:r>
      <w:r>
        <w:t xml:space="preserve"> </w:t>
      </w:r>
    </w:p>
    <w:p w14:paraId="7A5365DA" w14:textId="77777777" w:rsidR="008D1C3E" w:rsidRPr="00026194" w:rsidRDefault="008D1C3E" w:rsidP="008D1C3E">
      <w:pPr>
        <w:spacing w:after="120"/>
        <w:jc w:val="both"/>
      </w:pPr>
      <w:r w:rsidRPr="00026194">
        <w:t xml:space="preserve">Według informacji zawartych w raporcie, eksport ogółem w okresie I - </w:t>
      </w:r>
      <w:r>
        <w:t>IX</w:t>
      </w:r>
      <w:r w:rsidRPr="00026194">
        <w:t xml:space="preserve"> 2021 wyniósł </w:t>
      </w:r>
      <w:r>
        <w:t>207,4</w:t>
      </w:r>
      <w:r w:rsidRPr="00026194">
        <w:t xml:space="preserve"> mld </w:t>
      </w:r>
      <w:r w:rsidRPr="00026194">
        <w:rPr>
          <w:rFonts w:cstheme="minorHAnsi"/>
          <w:color w:val="222222"/>
          <w:shd w:val="clear" w:color="auto" w:fill="FFFFFF"/>
        </w:rPr>
        <w:t>EUR</w:t>
      </w:r>
      <w:r w:rsidRPr="00026194">
        <w:t>, co stanowiło wartość o 2</w:t>
      </w:r>
      <w:r>
        <w:t>0,3</w:t>
      </w:r>
      <w:r w:rsidRPr="00026194">
        <w:t xml:space="preserve">% wyższą, niż w analogicznym okresie roku ubiegłego. Wypada przypomnieć, że wyniki eksportu w okresie styczeń – </w:t>
      </w:r>
      <w:r>
        <w:t>sierpień</w:t>
      </w:r>
      <w:r w:rsidRPr="00026194">
        <w:t xml:space="preserve"> 2021 były </w:t>
      </w:r>
      <w:r>
        <w:t>o 21</w:t>
      </w:r>
      <w:r w:rsidRPr="006E4626">
        <w:t>,</w:t>
      </w:r>
      <w:r>
        <w:t>8</w:t>
      </w:r>
      <w:r w:rsidRPr="00026194">
        <w:t xml:space="preserve">% wyższe niż w analogicznym okresie roku ubiegłego. </w:t>
      </w:r>
    </w:p>
    <w:p w14:paraId="6C774AB6" w14:textId="77777777" w:rsidR="008D1C3E" w:rsidRPr="00026194" w:rsidRDefault="008D1C3E" w:rsidP="008D1C3E">
      <w:pPr>
        <w:spacing w:after="120"/>
        <w:jc w:val="both"/>
      </w:pPr>
      <w:r w:rsidRPr="00026194">
        <w:t xml:space="preserve">Wciąż głównym partnerem handlowym Polski pozostają Niemcy. W okresie I – </w:t>
      </w:r>
      <w:r>
        <w:t>IX</w:t>
      </w:r>
      <w:r w:rsidRPr="00026194">
        <w:t xml:space="preserve"> 2021 nasz eksport sięgnął tu </w:t>
      </w:r>
      <w:r>
        <w:t>59,6</w:t>
      </w:r>
      <w:r w:rsidRPr="00026194">
        <w:t xml:space="preserve"> mld EUR i jednocześnie okazał się o </w:t>
      </w:r>
      <w:r w:rsidRPr="006E4626">
        <w:t>2</w:t>
      </w:r>
      <w:r>
        <w:t>0,6</w:t>
      </w:r>
      <w:r w:rsidRPr="00026194">
        <w:t xml:space="preserve">% wyższy niż przed rokiem (w okresie styczeń - </w:t>
      </w:r>
      <w:r>
        <w:t>sierpień</w:t>
      </w:r>
      <w:r w:rsidRPr="00026194">
        <w:t xml:space="preserve"> 2021 notowany był wzrost o 2</w:t>
      </w:r>
      <w:r>
        <w:t>2,6</w:t>
      </w:r>
      <w:r w:rsidRPr="00026194">
        <w:t xml:space="preserve">%). Pokaźny wzrost eksportu wypracowany w sytuacji wciąż umiarkowanej kondycji niemieckiej gospodarki zaskakuje pozytywnie. Podobną była jednak praktyka całego ubiegłego roku (wzrost naszego eksportu przy słabej w Niemczech koniunkturze). </w:t>
      </w:r>
    </w:p>
    <w:p w14:paraId="377A2553" w14:textId="77777777" w:rsidR="008D1C3E" w:rsidRPr="00026194" w:rsidRDefault="008D1C3E" w:rsidP="008D1C3E">
      <w:pPr>
        <w:spacing w:after="120"/>
        <w:jc w:val="both"/>
      </w:pPr>
      <w:r w:rsidRPr="00026194">
        <w:t xml:space="preserve">Eksport do pozostałych krajów strefy euro sięgnął </w:t>
      </w:r>
      <w:r>
        <w:t>62,7</w:t>
      </w:r>
      <w:r w:rsidRPr="00026194">
        <w:t xml:space="preserve"> mld EUR i okazał się o 2</w:t>
      </w:r>
      <w:r>
        <w:t>4,8</w:t>
      </w:r>
      <w:r w:rsidRPr="00026194">
        <w:t xml:space="preserve">% wyższy niż w analogicznym okresie roku ubiegłego (w okresie styczeń - </w:t>
      </w:r>
      <w:r>
        <w:t>sierpień</w:t>
      </w:r>
      <w:r w:rsidRPr="00026194">
        <w:t xml:space="preserve"> 2021 notowany był wzrost sięgający 2</w:t>
      </w:r>
      <w:r>
        <w:t>7,2</w:t>
      </w:r>
      <w:r w:rsidRPr="00026194">
        <w:t>%). Warto zwrócić w tym kontekście uwagę na szybko rosnące wyniki sprzedaży do Włoch (</w:t>
      </w:r>
      <w:r>
        <w:t>9,7 mld EUR, wzrost o 32,0</w:t>
      </w:r>
      <w:r w:rsidRPr="00026194">
        <w:t xml:space="preserve">%, po wzroście w okresie styczeń – </w:t>
      </w:r>
      <w:r>
        <w:t>sierpień o 36,9</w:t>
      </w:r>
      <w:r w:rsidRPr="00026194">
        <w:t>%), Francji (</w:t>
      </w:r>
      <w:r>
        <w:t>12,0</w:t>
      </w:r>
      <w:r w:rsidRPr="00026194">
        <w:t xml:space="preserve"> mld EUR, wzrost o </w:t>
      </w:r>
      <w:r>
        <w:t>23,7</w:t>
      </w:r>
      <w:r w:rsidRPr="00026194">
        <w:t xml:space="preserve">%, po wzroście w okresie styczeń – </w:t>
      </w:r>
      <w:r>
        <w:t>sierpień</w:t>
      </w:r>
      <w:r w:rsidRPr="00026194">
        <w:t xml:space="preserve">  na poziomie </w:t>
      </w:r>
      <w:r>
        <w:t>26,3</w:t>
      </w:r>
      <w:r w:rsidRPr="00026194">
        <w:t>%), Hiszpanii (</w:t>
      </w:r>
      <w:r>
        <w:t>5,2</w:t>
      </w:r>
      <w:r w:rsidRPr="00026194">
        <w:t xml:space="preserve"> mld EUR wzrost o </w:t>
      </w:r>
      <w:r w:rsidRPr="006E4626">
        <w:t>2</w:t>
      </w:r>
      <w:r>
        <w:t>2,8</w:t>
      </w:r>
      <w:r w:rsidRPr="00026194">
        <w:t xml:space="preserve">%, w okresie styczeń - </w:t>
      </w:r>
      <w:r>
        <w:t>sierpień</w:t>
      </w:r>
      <w:r w:rsidRPr="00026194">
        <w:t xml:space="preserve"> obserwowany był tu wzrost o  </w:t>
      </w:r>
      <w:r>
        <w:t>24,9</w:t>
      </w:r>
      <w:r w:rsidRPr="00026194">
        <w:t xml:space="preserve">%). </w:t>
      </w:r>
      <w:r>
        <w:t>P</w:t>
      </w:r>
      <w:r w:rsidRPr="00026194">
        <w:t xml:space="preserve">ozytywnie prezentują się </w:t>
      </w:r>
      <w:r>
        <w:t xml:space="preserve">też </w:t>
      </w:r>
      <w:r w:rsidRPr="00026194">
        <w:t>wyniki sprzedaży do Holandii (</w:t>
      </w:r>
      <w:r>
        <w:t>8,7</w:t>
      </w:r>
      <w:r w:rsidRPr="00026194">
        <w:t xml:space="preserve"> mld EUR, wzrost o </w:t>
      </w:r>
      <w:r w:rsidRPr="006E4626">
        <w:t>1</w:t>
      </w:r>
      <w:r>
        <w:t>6,5</w:t>
      </w:r>
      <w:r w:rsidRPr="00026194">
        <w:t xml:space="preserve">% wobec wzrostu w okresie styczeń – </w:t>
      </w:r>
      <w:r>
        <w:t>sierpień</w:t>
      </w:r>
      <w:r w:rsidRPr="00026194">
        <w:t xml:space="preserve"> o </w:t>
      </w:r>
      <w:r>
        <w:t>18,1</w:t>
      </w:r>
      <w:r w:rsidRPr="00026194">
        <w:t>%).</w:t>
      </w:r>
    </w:p>
    <w:p w14:paraId="63F6A8B5" w14:textId="77777777" w:rsidR="008D1C3E" w:rsidRPr="00026194" w:rsidRDefault="008D1C3E" w:rsidP="008D1C3E">
      <w:pPr>
        <w:spacing w:after="120"/>
        <w:jc w:val="both"/>
      </w:pPr>
      <w:r w:rsidRPr="00026194">
        <w:t xml:space="preserve">W przypadku krajów UE pozostających poza strefą euro eksport wyniósł </w:t>
      </w:r>
      <w:r>
        <w:t>32,8</w:t>
      </w:r>
      <w:r w:rsidRPr="00026194">
        <w:t xml:space="preserve"> mld EUR i okazał się o 1</w:t>
      </w:r>
      <w:r>
        <w:t>7,7</w:t>
      </w:r>
      <w:r w:rsidRPr="00026194">
        <w:t xml:space="preserve">% wyższy niż przed rokiem (w okresie styczeń - </w:t>
      </w:r>
      <w:r>
        <w:t>sierpień</w:t>
      </w:r>
      <w:r w:rsidRPr="00026194">
        <w:t xml:space="preserve"> 2021 notowany był tu wzrost sięgający </w:t>
      </w:r>
      <w:r w:rsidRPr="006E4626">
        <w:t>1</w:t>
      </w:r>
      <w:r>
        <w:t>8,5</w:t>
      </w:r>
      <w:r w:rsidRPr="00026194">
        <w:t xml:space="preserve">%). </w:t>
      </w:r>
      <w:r>
        <w:t>Dobrze prezentuje</w:t>
      </w:r>
      <w:r w:rsidRPr="00026194">
        <w:t xml:space="preserve"> się słaba do</w:t>
      </w:r>
      <w:r>
        <w:t xml:space="preserve"> niedawna</w:t>
      </w:r>
      <w:r w:rsidRPr="00026194">
        <w:t xml:space="preserve"> sprzedaż do Czech (</w:t>
      </w:r>
      <w:r>
        <w:t>12,3</w:t>
      </w:r>
      <w:r w:rsidRPr="00026194">
        <w:t xml:space="preserve"> mld EUR wzrost o </w:t>
      </w:r>
      <w:r>
        <w:t>20,0</w:t>
      </w:r>
      <w:r w:rsidRPr="00026194">
        <w:t>%). Cieszy też wzrost sprzedaży do Szwecji (</w:t>
      </w:r>
      <w:r>
        <w:t>5,7</w:t>
      </w:r>
      <w:r w:rsidRPr="00026194">
        <w:t xml:space="preserve"> mld EUR wzrost o </w:t>
      </w:r>
      <w:r>
        <w:t>14,1</w:t>
      </w:r>
      <w:r w:rsidRPr="00026194">
        <w:t xml:space="preserve">%). </w:t>
      </w:r>
    </w:p>
    <w:p w14:paraId="08B31381" w14:textId="77777777" w:rsidR="008D1C3E" w:rsidRPr="00026194" w:rsidRDefault="008D1C3E" w:rsidP="008D1C3E">
      <w:pPr>
        <w:spacing w:after="120"/>
        <w:jc w:val="both"/>
        <w:rPr>
          <w:rFonts w:cstheme="minorHAnsi"/>
          <w:color w:val="222222"/>
          <w:shd w:val="clear" w:color="auto" w:fill="FFFFFF"/>
        </w:rPr>
      </w:pPr>
      <w:r w:rsidRPr="00026194">
        <w:t>Stopniowo normalizują się  kontakty z krajam</w:t>
      </w:r>
      <w:r>
        <w:t>i wysokorozwiniętymi spoza UE (23,8</w:t>
      </w:r>
      <w:r w:rsidRPr="00026194">
        <w:t xml:space="preserve"> mld EUR poz</w:t>
      </w:r>
      <w:r>
        <w:t>iom wyższy niż przed rokiem o 11,2</w:t>
      </w:r>
      <w:r w:rsidRPr="00026194">
        <w:t>%) np. do Wielkiej Brytanii (</w:t>
      </w:r>
      <w:r>
        <w:t>10,5</w:t>
      </w:r>
      <w:r w:rsidRPr="00026194">
        <w:t xml:space="preserve"> mld EUR wzrost o </w:t>
      </w:r>
      <w:r>
        <w:t>6,7</w:t>
      </w:r>
      <w:r w:rsidRPr="00026194">
        <w:t>%) i do USA (</w:t>
      </w:r>
      <w:r>
        <w:t>5,5</w:t>
      </w:r>
      <w:r w:rsidRPr="00026194">
        <w:t xml:space="preserve"> mld EUR wzrost o </w:t>
      </w:r>
      <w:r>
        <w:t>8,3</w:t>
      </w:r>
      <w:r w:rsidRPr="00026194">
        <w:t xml:space="preserve">%). </w:t>
      </w:r>
      <w:r w:rsidRPr="00026194">
        <w:rPr>
          <w:rFonts w:cstheme="minorHAnsi"/>
          <w:color w:val="222222"/>
          <w:shd w:val="clear" w:color="auto" w:fill="FFFFFF"/>
        </w:rPr>
        <w:t xml:space="preserve">Do krajów Europy Środkowo-Wschodniej wyeksportowano w pierwszych </w:t>
      </w:r>
      <w:r>
        <w:rPr>
          <w:rFonts w:cstheme="minorHAnsi"/>
          <w:color w:val="222222"/>
          <w:shd w:val="clear" w:color="auto" w:fill="FFFFFF"/>
        </w:rPr>
        <w:t>dziewięciu</w:t>
      </w:r>
      <w:r w:rsidRPr="00026194">
        <w:rPr>
          <w:rFonts w:cstheme="minorHAnsi"/>
          <w:color w:val="222222"/>
          <w:shd w:val="clear" w:color="auto" w:fill="FFFFFF"/>
        </w:rPr>
        <w:t xml:space="preserve"> miesiącach roku 2021 towary na kwotę </w:t>
      </w:r>
      <w:r>
        <w:rPr>
          <w:rFonts w:cstheme="minorHAnsi"/>
          <w:color w:val="222222"/>
          <w:shd w:val="clear" w:color="auto" w:fill="FFFFFF"/>
        </w:rPr>
        <w:t>11,8</w:t>
      </w:r>
      <w:r w:rsidRPr="00026194">
        <w:rPr>
          <w:rFonts w:cstheme="minorHAnsi"/>
          <w:color w:val="222222"/>
          <w:shd w:val="clear" w:color="auto" w:fill="FFFFFF"/>
        </w:rPr>
        <w:t xml:space="preserve"> mld EUR (wzrost o 1</w:t>
      </w:r>
      <w:r>
        <w:rPr>
          <w:rFonts w:cstheme="minorHAnsi"/>
          <w:color w:val="222222"/>
          <w:shd w:val="clear" w:color="auto" w:fill="FFFFFF"/>
        </w:rPr>
        <w:t>4,2</w:t>
      </w:r>
      <w:r w:rsidRPr="00026194">
        <w:rPr>
          <w:rFonts w:cstheme="minorHAnsi"/>
          <w:color w:val="222222"/>
          <w:shd w:val="clear" w:color="auto" w:fill="FFFFFF"/>
        </w:rPr>
        <w:t>%), głównie do Rosji (</w:t>
      </w:r>
      <w:r>
        <w:rPr>
          <w:rFonts w:cstheme="minorHAnsi"/>
          <w:color w:val="222222"/>
          <w:shd w:val="clear" w:color="auto" w:fill="FFFFFF"/>
        </w:rPr>
        <w:t>5,8</w:t>
      </w:r>
      <w:r w:rsidRPr="00026194">
        <w:rPr>
          <w:rFonts w:cstheme="minorHAnsi"/>
          <w:color w:val="222222"/>
          <w:shd w:val="clear" w:color="auto" w:fill="FFFFFF"/>
        </w:rPr>
        <w:t xml:space="preserve"> mld EUR wzrost o 1</w:t>
      </w:r>
      <w:r>
        <w:rPr>
          <w:rFonts w:cstheme="minorHAnsi"/>
          <w:color w:val="222222"/>
          <w:shd w:val="clear" w:color="auto" w:fill="FFFFFF"/>
        </w:rPr>
        <w:t>2,5</w:t>
      </w:r>
      <w:r w:rsidRPr="00026194">
        <w:rPr>
          <w:rFonts w:cstheme="minorHAnsi"/>
          <w:color w:val="222222"/>
          <w:shd w:val="clear" w:color="auto" w:fill="FFFFFF"/>
        </w:rPr>
        <w:t xml:space="preserve">%). Do krajów rozwijających się </w:t>
      </w:r>
      <w:r>
        <w:rPr>
          <w:rFonts w:cstheme="minorHAnsi"/>
          <w:color w:val="222222"/>
          <w:shd w:val="clear" w:color="auto" w:fill="FFFFFF"/>
        </w:rPr>
        <w:t xml:space="preserve">również </w:t>
      </w:r>
      <w:r w:rsidRPr="00026194">
        <w:rPr>
          <w:rFonts w:cstheme="minorHAnsi"/>
          <w:color w:val="222222"/>
          <w:shd w:val="clear" w:color="auto" w:fill="FFFFFF"/>
        </w:rPr>
        <w:t xml:space="preserve">odnotowano doskonałe wyniki - eksport na poziomie – </w:t>
      </w:r>
      <w:r w:rsidRPr="006E4626">
        <w:rPr>
          <w:rFonts w:cstheme="minorHAnsi"/>
          <w:color w:val="222222"/>
          <w:shd w:val="clear" w:color="auto" w:fill="FFFFFF"/>
        </w:rPr>
        <w:t>1</w:t>
      </w:r>
      <w:r>
        <w:rPr>
          <w:rFonts w:cstheme="minorHAnsi"/>
          <w:color w:val="222222"/>
          <w:shd w:val="clear" w:color="auto" w:fill="FFFFFF"/>
        </w:rPr>
        <w:t>6,7</w:t>
      </w:r>
      <w:r w:rsidRPr="00026194">
        <w:rPr>
          <w:rFonts w:cstheme="minorHAnsi"/>
          <w:color w:val="222222"/>
          <w:shd w:val="clear" w:color="auto" w:fill="FFFFFF"/>
        </w:rPr>
        <w:t xml:space="preserve"> mld EUR </w:t>
      </w:r>
      <w:r>
        <w:rPr>
          <w:rFonts w:cstheme="minorHAnsi"/>
          <w:color w:val="222222"/>
          <w:shd w:val="clear" w:color="auto" w:fill="FFFFFF"/>
        </w:rPr>
        <w:t xml:space="preserve">- </w:t>
      </w:r>
      <w:r w:rsidRPr="00026194">
        <w:rPr>
          <w:rFonts w:cstheme="minorHAnsi"/>
          <w:color w:val="222222"/>
          <w:shd w:val="clear" w:color="auto" w:fill="FFFFFF"/>
        </w:rPr>
        <w:t>wyraźnie wyższy niż przed rokiem (o 2</w:t>
      </w:r>
      <w:r>
        <w:rPr>
          <w:rFonts w:cstheme="minorHAnsi"/>
          <w:color w:val="222222"/>
          <w:shd w:val="clear" w:color="auto" w:fill="FFFFFF"/>
        </w:rPr>
        <w:t>7,7</w:t>
      </w:r>
      <w:r w:rsidRPr="00026194">
        <w:rPr>
          <w:rFonts w:cstheme="minorHAnsi"/>
          <w:color w:val="222222"/>
          <w:shd w:val="clear" w:color="auto" w:fill="FFFFFF"/>
        </w:rPr>
        <w:t xml:space="preserve">%). </w:t>
      </w:r>
    </w:p>
    <w:p w14:paraId="58FFF6FB" w14:textId="77777777" w:rsidR="008D1C3E" w:rsidRPr="00906AE1" w:rsidRDefault="008D1C3E" w:rsidP="008D1C3E">
      <w:pPr>
        <w:spacing w:after="120"/>
        <w:jc w:val="both"/>
        <w:rPr>
          <w:rFonts w:cstheme="minorHAnsi"/>
          <w:color w:val="222222"/>
          <w:highlight w:val="yellow"/>
          <w:shd w:val="clear" w:color="auto" w:fill="FFFFFF"/>
        </w:rPr>
      </w:pPr>
    </w:p>
    <w:tbl>
      <w:tblPr>
        <w:tblW w:w="821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134"/>
        <w:gridCol w:w="1276"/>
        <w:gridCol w:w="1134"/>
        <w:gridCol w:w="1134"/>
      </w:tblGrid>
      <w:tr w:rsidR="008D1C3E" w:rsidRPr="00A97B5D" w14:paraId="090BF7B4" w14:textId="77777777" w:rsidTr="00225176">
        <w:trPr>
          <w:trHeight w:val="2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E115" w14:textId="77777777" w:rsidR="008D1C3E" w:rsidRPr="00A97B5D" w:rsidRDefault="008D1C3E" w:rsidP="002251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7B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E407" w14:textId="77777777" w:rsidR="008D1C3E" w:rsidRPr="00A97B5D" w:rsidRDefault="008D1C3E" w:rsidP="002251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7B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Eksport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D50F" w14:textId="77777777" w:rsidR="008D1C3E" w:rsidRPr="00A97B5D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7B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- IX 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653C" w14:textId="77777777" w:rsidR="008D1C3E" w:rsidRPr="00A97B5D" w:rsidRDefault="008D1C3E" w:rsidP="002251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7B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Import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7EE5" w14:textId="77777777" w:rsidR="008D1C3E" w:rsidRPr="00A97B5D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7B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- IX 2021</w:t>
            </w:r>
          </w:p>
        </w:tc>
      </w:tr>
      <w:tr w:rsidR="008D1C3E" w:rsidRPr="00A97B5D" w14:paraId="2532DFC7" w14:textId="77777777" w:rsidTr="00225176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6612" w14:textId="77777777" w:rsidR="008D1C3E" w:rsidRPr="00A97B5D" w:rsidRDefault="008D1C3E" w:rsidP="002251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7B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846D" w14:textId="77777777" w:rsidR="008D1C3E" w:rsidRPr="00A97B5D" w:rsidRDefault="008D1C3E" w:rsidP="002251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7B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mld EUR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12CE" w14:textId="77777777" w:rsidR="008D1C3E" w:rsidRPr="00A97B5D" w:rsidRDefault="008D1C3E" w:rsidP="002251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7B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dynamika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2E13" w14:textId="77777777" w:rsidR="008D1C3E" w:rsidRPr="00A97B5D" w:rsidRDefault="008D1C3E" w:rsidP="002251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7B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mld EUR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3C16" w14:textId="77777777" w:rsidR="008D1C3E" w:rsidRPr="00A97B5D" w:rsidRDefault="008D1C3E" w:rsidP="002251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7B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dynamika</w:t>
            </w:r>
          </w:p>
        </w:tc>
      </w:tr>
      <w:tr w:rsidR="008D1C3E" w:rsidRPr="00A97B5D" w14:paraId="21B03AB7" w14:textId="77777777" w:rsidTr="00225176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8938" w14:textId="77777777" w:rsidR="008D1C3E" w:rsidRPr="00A97B5D" w:rsidRDefault="008D1C3E" w:rsidP="002251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7B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FE76" w14:textId="77777777" w:rsidR="008D1C3E" w:rsidRPr="00A97B5D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7B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207,4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DBE6" w14:textId="77777777" w:rsidR="008D1C3E" w:rsidRPr="00A97B5D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7B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20,3%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B0BD" w14:textId="77777777" w:rsidR="008D1C3E" w:rsidRPr="00A97B5D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7B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269E" w14:textId="77777777" w:rsidR="008D1C3E" w:rsidRPr="00A97B5D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7B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24,1%</w:t>
            </w:r>
          </w:p>
        </w:tc>
      </w:tr>
      <w:tr w:rsidR="008D1C3E" w:rsidRPr="00A97B5D" w14:paraId="4843C414" w14:textId="77777777" w:rsidTr="00225176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449F" w14:textId="77777777" w:rsidR="008D1C3E" w:rsidRPr="00A97B5D" w:rsidRDefault="008D1C3E" w:rsidP="002251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7B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Niemcy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2C7A" w14:textId="77777777" w:rsidR="008D1C3E" w:rsidRPr="00A97B5D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7B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1E4F" w14:textId="77777777" w:rsidR="008D1C3E" w:rsidRPr="00A97B5D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7B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20,6%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A7C6" w14:textId="77777777" w:rsidR="008D1C3E" w:rsidRPr="00A97B5D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7B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200F" w14:textId="77777777" w:rsidR="008D1C3E" w:rsidRPr="00A97B5D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7B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20,7%</w:t>
            </w:r>
          </w:p>
        </w:tc>
      </w:tr>
      <w:tr w:rsidR="008D1C3E" w:rsidRPr="00A97B5D" w14:paraId="3B66A6EB" w14:textId="77777777" w:rsidTr="00225176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0AEE" w14:textId="77777777" w:rsidR="008D1C3E" w:rsidRPr="00A97B5D" w:rsidRDefault="008D1C3E" w:rsidP="002251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7B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Reszta strefy euro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3A3B" w14:textId="77777777" w:rsidR="008D1C3E" w:rsidRPr="00A97B5D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7B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C752" w14:textId="77777777" w:rsidR="008D1C3E" w:rsidRPr="00A97B5D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7B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24,8%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5F1E" w14:textId="77777777" w:rsidR="008D1C3E" w:rsidRPr="00A97B5D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7B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E2EE" w14:textId="77777777" w:rsidR="008D1C3E" w:rsidRPr="00A97B5D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7B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24,7%</w:t>
            </w:r>
          </w:p>
        </w:tc>
      </w:tr>
      <w:tr w:rsidR="008D1C3E" w:rsidRPr="00A97B5D" w14:paraId="3DCA5F87" w14:textId="77777777" w:rsidTr="00225176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52C5" w14:textId="77777777" w:rsidR="008D1C3E" w:rsidRPr="00A97B5D" w:rsidRDefault="008D1C3E" w:rsidP="002251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7B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Kraje UE spoza Euro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41C1" w14:textId="77777777" w:rsidR="008D1C3E" w:rsidRPr="00A97B5D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7B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826C" w14:textId="77777777" w:rsidR="008D1C3E" w:rsidRPr="00A97B5D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7B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17,7%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4600" w14:textId="77777777" w:rsidR="008D1C3E" w:rsidRPr="00A97B5D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7B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1C87" w14:textId="77777777" w:rsidR="008D1C3E" w:rsidRPr="00A97B5D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7B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19,9%</w:t>
            </w:r>
          </w:p>
        </w:tc>
      </w:tr>
      <w:tr w:rsidR="008D1C3E" w:rsidRPr="00A97B5D" w14:paraId="7ADBFD7C" w14:textId="77777777" w:rsidTr="00225176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9AE2" w14:textId="77777777" w:rsidR="008D1C3E" w:rsidRPr="00A97B5D" w:rsidRDefault="008D1C3E" w:rsidP="002251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7B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Pozostałe kraje rozwinięte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859A" w14:textId="77777777" w:rsidR="008D1C3E" w:rsidRPr="00A97B5D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7B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32F2" w14:textId="77777777" w:rsidR="008D1C3E" w:rsidRPr="00A97B5D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7B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11,2%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4B20" w14:textId="77777777" w:rsidR="008D1C3E" w:rsidRPr="00A97B5D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7B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E2F7" w14:textId="77777777" w:rsidR="008D1C3E" w:rsidRPr="00A97B5D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7B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9,6%</w:t>
            </w:r>
          </w:p>
        </w:tc>
      </w:tr>
      <w:tr w:rsidR="008D1C3E" w:rsidRPr="00A97B5D" w14:paraId="5D59D8F2" w14:textId="77777777" w:rsidTr="00225176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837E" w14:textId="77777777" w:rsidR="008D1C3E" w:rsidRPr="00A97B5D" w:rsidRDefault="008D1C3E" w:rsidP="002251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7B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Kraje Europy - Środkowo Wschodniej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65F2" w14:textId="77777777" w:rsidR="008D1C3E" w:rsidRPr="00A97B5D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7B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C156" w14:textId="77777777" w:rsidR="008D1C3E" w:rsidRPr="00A97B5D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7B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14,2%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0AEF" w14:textId="77777777" w:rsidR="008D1C3E" w:rsidRPr="00A97B5D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7B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550E" w14:textId="77777777" w:rsidR="008D1C3E" w:rsidRPr="00A97B5D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7B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51,1%</w:t>
            </w:r>
          </w:p>
        </w:tc>
      </w:tr>
      <w:tr w:rsidR="008D1C3E" w:rsidRPr="00A97B5D" w14:paraId="725E547A" w14:textId="77777777" w:rsidTr="00225176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941A" w14:textId="77777777" w:rsidR="008D1C3E" w:rsidRPr="00A97B5D" w:rsidRDefault="008D1C3E" w:rsidP="002251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7B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Kraje rozwijające się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2A1A2" w14:textId="77777777" w:rsidR="008D1C3E" w:rsidRPr="00A97B5D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7B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84D0" w14:textId="77777777" w:rsidR="008D1C3E" w:rsidRPr="00A97B5D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7B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27,7%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270BE8" w14:textId="77777777" w:rsidR="008D1C3E" w:rsidRPr="00A97B5D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7B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B64B" w14:textId="77777777" w:rsidR="008D1C3E" w:rsidRPr="00A97B5D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7B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26,5%</w:t>
            </w:r>
          </w:p>
        </w:tc>
      </w:tr>
    </w:tbl>
    <w:p w14:paraId="27DBC8A1" w14:textId="77777777" w:rsidR="008D1C3E" w:rsidRPr="00906AE1" w:rsidRDefault="008D1C3E" w:rsidP="008D1C3E">
      <w:pPr>
        <w:spacing w:after="120"/>
        <w:jc w:val="both"/>
        <w:rPr>
          <w:rFonts w:cstheme="minorHAnsi"/>
          <w:color w:val="222222"/>
          <w:highlight w:val="yellow"/>
          <w:shd w:val="clear" w:color="auto" w:fill="FFFFFF"/>
        </w:rPr>
      </w:pPr>
    </w:p>
    <w:p w14:paraId="35AC8927" w14:textId="77777777" w:rsidR="008D1C3E" w:rsidRPr="00906AE1" w:rsidRDefault="008D1C3E" w:rsidP="008D1C3E">
      <w:pPr>
        <w:spacing w:after="120"/>
        <w:jc w:val="both"/>
        <w:rPr>
          <w:highlight w:val="yellow"/>
        </w:rPr>
      </w:pPr>
    </w:p>
    <w:p w14:paraId="37166DA4" w14:textId="77777777" w:rsidR="008D1C3E" w:rsidRPr="00026194" w:rsidRDefault="008D1C3E" w:rsidP="008D1C3E">
      <w:pPr>
        <w:spacing w:after="120"/>
        <w:jc w:val="both"/>
      </w:pPr>
      <w:r w:rsidRPr="00026194">
        <w:t xml:space="preserve">W okresie I - </w:t>
      </w:r>
      <w:r>
        <w:t>IX</w:t>
      </w:r>
      <w:r w:rsidRPr="00026194">
        <w:t xml:space="preserve"> 2021 import ogółem wyniósł </w:t>
      </w:r>
      <w:r>
        <w:t>205,6</w:t>
      </w:r>
      <w:r w:rsidRPr="00026194">
        <w:t xml:space="preserve"> mld </w:t>
      </w:r>
      <w:r w:rsidRPr="00026194">
        <w:rPr>
          <w:rFonts w:cstheme="minorHAnsi"/>
          <w:color w:val="222222"/>
          <w:shd w:val="clear" w:color="auto" w:fill="FFFFFF"/>
        </w:rPr>
        <w:t>EUR</w:t>
      </w:r>
      <w:r w:rsidRPr="00026194">
        <w:t xml:space="preserve">, co stanowiło wartość o </w:t>
      </w:r>
      <w:r>
        <w:t>24,1</w:t>
      </w:r>
      <w:r w:rsidRPr="00026194">
        <w:t xml:space="preserve">% wyższą niż w  analogicznym okresie roku ubiegłego (w okresie styczeń – </w:t>
      </w:r>
      <w:r>
        <w:t>sierpień</w:t>
      </w:r>
      <w:r w:rsidRPr="00026194">
        <w:t xml:space="preserve"> 2021 import był wyższy niż przed rokiem o </w:t>
      </w:r>
      <w:r w:rsidRPr="006E4626">
        <w:t>2</w:t>
      </w:r>
      <w:r>
        <w:t>4,9</w:t>
      </w:r>
      <w:r w:rsidRPr="00026194">
        <w:t xml:space="preserve">%). </w:t>
      </w:r>
    </w:p>
    <w:p w14:paraId="72790990" w14:textId="77777777" w:rsidR="008D1C3E" w:rsidRPr="009A0EF4" w:rsidRDefault="008D1C3E" w:rsidP="008D1C3E">
      <w:pPr>
        <w:spacing w:after="120"/>
        <w:jc w:val="both"/>
      </w:pPr>
      <w:r w:rsidRPr="009A0EF4">
        <w:t xml:space="preserve">W pierwszych </w:t>
      </w:r>
      <w:r>
        <w:t>dziewięciu</w:t>
      </w:r>
      <w:r w:rsidRPr="009A0EF4">
        <w:t xml:space="preserve"> miesiącach roku nasz import z Niemiec sięgnął </w:t>
      </w:r>
      <w:r>
        <w:t>43,6</w:t>
      </w:r>
      <w:r w:rsidRPr="009A0EF4">
        <w:t xml:space="preserve"> mld EUR i jednocześnie okazał się o </w:t>
      </w:r>
      <w:r w:rsidRPr="006E4626">
        <w:t>2</w:t>
      </w:r>
      <w:r>
        <w:t>0,7</w:t>
      </w:r>
      <w:r w:rsidRPr="009A0EF4">
        <w:t xml:space="preserve">% wyższy niż przed rokiem (w okresie styczeń - </w:t>
      </w:r>
      <w:r>
        <w:t>sierpień</w:t>
      </w:r>
      <w:r w:rsidRPr="009A0EF4">
        <w:t xml:space="preserve"> 2021 notowano wzrost o </w:t>
      </w:r>
      <w:r>
        <w:t>22,4</w:t>
      </w:r>
      <w:r w:rsidRPr="009A0EF4">
        <w:t xml:space="preserve">%). Import z pozostałych krajów strefy euro wyniósł </w:t>
      </w:r>
      <w:r>
        <w:t>49,9</w:t>
      </w:r>
      <w:r w:rsidRPr="009A0EF4">
        <w:t xml:space="preserve"> mld EUR i okazał się o </w:t>
      </w:r>
      <w:r>
        <w:t>24,7</w:t>
      </w:r>
      <w:r w:rsidRPr="009A0EF4">
        <w:t xml:space="preserve">% wyższy niż przed rokiem (w okresie styczeń - </w:t>
      </w:r>
      <w:r>
        <w:t>sierpień</w:t>
      </w:r>
      <w:r w:rsidRPr="009A0EF4">
        <w:t xml:space="preserve"> 2021 notowano wynik wyższy niż przed rokiem o </w:t>
      </w:r>
      <w:r>
        <w:t>25,8</w:t>
      </w:r>
      <w:r w:rsidRPr="009A0EF4">
        <w:t xml:space="preserve">%). Zwraca uwagę wzrost słabego do niedawna importu z Francji (o </w:t>
      </w:r>
      <w:r w:rsidRPr="006E4626">
        <w:t>2</w:t>
      </w:r>
      <w:r>
        <w:t>2,3</w:t>
      </w:r>
      <w:r w:rsidRPr="009A0EF4">
        <w:t xml:space="preserve">% do </w:t>
      </w:r>
      <w:r>
        <w:t>7,0</w:t>
      </w:r>
      <w:r w:rsidRPr="009A0EF4">
        <w:t xml:space="preserve"> mld EUR), przy równoczesnym silnym wzroście importu z Włoch (o </w:t>
      </w:r>
      <w:r>
        <w:t>26,6</w:t>
      </w:r>
      <w:r w:rsidRPr="009A0EF4">
        <w:t xml:space="preserve">% do kwoty </w:t>
      </w:r>
      <w:r>
        <w:t>10,5</w:t>
      </w:r>
      <w:r w:rsidRPr="009A0EF4">
        <w:t xml:space="preserve"> mld EUR), Holandii (o </w:t>
      </w:r>
      <w:r>
        <w:t>28,9</w:t>
      </w:r>
      <w:r w:rsidRPr="009A0EF4">
        <w:t xml:space="preserve">% do </w:t>
      </w:r>
      <w:r>
        <w:t>8,4</w:t>
      </w:r>
      <w:r w:rsidRPr="009A0EF4">
        <w:t xml:space="preserve"> mld EUR) i Belgii (o </w:t>
      </w:r>
      <w:r>
        <w:t>36,0</w:t>
      </w:r>
      <w:r w:rsidRPr="009A0EF4">
        <w:t xml:space="preserve">% do </w:t>
      </w:r>
      <w:r>
        <w:t>5,3</w:t>
      </w:r>
      <w:r w:rsidRPr="009A0EF4">
        <w:t xml:space="preserve"> mld EUR).</w:t>
      </w:r>
    </w:p>
    <w:p w14:paraId="2870C31D" w14:textId="77777777" w:rsidR="008D1C3E" w:rsidRPr="009A0EF4" w:rsidRDefault="008D1C3E" w:rsidP="008D1C3E">
      <w:pPr>
        <w:spacing w:after="120"/>
        <w:jc w:val="both"/>
        <w:rPr>
          <w:rFonts w:cstheme="minorHAnsi"/>
          <w:color w:val="222222"/>
          <w:shd w:val="clear" w:color="auto" w:fill="FFFFFF"/>
        </w:rPr>
      </w:pPr>
      <w:r w:rsidRPr="009A0EF4">
        <w:t xml:space="preserve">Import z krajów UE pozostających poza strefą euro wyniósł </w:t>
      </w:r>
      <w:r w:rsidRPr="006E4626">
        <w:t>1</w:t>
      </w:r>
      <w:r>
        <w:t>9,1</w:t>
      </w:r>
      <w:r w:rsidRPr="009A0EF4">
        <w:t xml:space="preserve"> mld EUR (wzrost o </w:t>
      </w:r>
      <w:r>
        <w:t>19,9</w:t>
      </w:r>
      <w:r w:rsidRPr="009A0EF4">
        <w:t>%). Import z krajów wysokorozwiniętych spoza UE (</w:t>
      </w:r>
      <w:r w:rsidRPr="006E4626">
        <w:t>1</w:t>
      </w:r>
      <w:r>
        <w:t>7,7</w:t>
      </w:r>
      <w:r w:rsidRPr="009A0EF4">
        <w:t xml:space="preserve"> mld EUR wzrost o </w:t>
      </w:r>
      <w:r>
        <w:t>9,6</w:t>
      </w:r>
      <w:r w:rsidRPr="009A0EF4">
        <w:t>%), podobnie jak w przypadku eksportu kreowany był w znacznej części kontaktami z USA (</w:t>
      </w:r>
      <w:r>
        <w:t>5,9</w:t>
      </w:r>
      <w:r w:rsidRPr="009A0EF4">
        <w:t xml:space="preserve"> mld EUR </w:t>
      </w:r>
      <w:r>
        <w:t>wzrost</w:t>
      </w:r>
      <w:r w:rsidRPr="009A0EF4">
        <w:t xml:space="preserve"> o </w:t>
      </w:r>
      <w:r>
        <w:t>10,9</w:t>
      </w:r>
      <w:r w:rsidRPr="009A0EF4">
        <w:t>%), ale i z Koreą Południową (</w:t>
      </w:r>
      <w:r>
        <w:t>4,8</w:t>
      </w:r>
      <w:r w:rsidRPr="009A0EF4">
        <w:t xml:space="preserve"> mld EUR wzrost o </w:t>
      </w:r>
      <w:r>
        <w:t>20,9</w:t>
      </w:r>
      <w:r w:rsidRPr="009A0EF4">
        <w:t xml:space="preserve">%). </w:t>
      </w:r>
      <w:r w:rsidRPr="009A0EF4">
        <w:rPr>
          <w:rFonts w:cstheme="minorHAnsi"/>
          <w:color w:val="222222"/>
          <w:shd w:val="clear" w:color="auto" w:fill="FFFFFF"/>
        </w:rPr>
        <w:t xml:space="preserve">Z krajów Europy Środkowo-Wschodniej zakupiono towary na kwotę </w:t>
      </w:r>
      <w:r>
        <w:rPr>
          <w:rFonts w:cstheme="minorHAnsi"/>
          <w:color w:val="222222"/>
          <w:shd w:val="clear" w:color="auto" w:fill="FFFFFF"/>
        </w:rPr>
        <w:t>15,7</w:t>
      </w:r>
      <w:r w:rsidRPr="009A0EF4">
        <w:rPr>
          <w:rFonts w:cstheme="minorHAnsi"/>
          <w:color w:val="222222"/>
          <w:shd w:val="clear" w:color="auto" w:fill="FFFFFF"/>
        </w:rPr>
        <w:t xml:space="preserve"> mld EUR (wzrost o </w:t>
      </w:r>
      <w:r>
        <w:rPr>
          <w:rFonts w:cstheme="minorHAnsi"/>
          <w:color w:val="222222"/>
          <w:shd w:val="clear" w:color="auto" w:fill="FFFFFF"/>
        </w:rPr>
        <w:t>51,1</w:t>
      </w:r>
      <w:r w:rsidRPr="009A0EF4">
        <w:rPr>
          <w:rFonts w:cstheme="minorHAnsi"/>
          <w:color w:val="222222"/>
          <w:shd w:val="clear" w:color="auto" w:fill="FFFFFF"/>
        </w:rPr>
        <w:t>%), głównie z Rosji (</w:t>
      </w:r>
      <w:r>
        <w:rPr>
          <w:rFonts w:cstheme="minorHAnsi"/>
          <w:color w:val="222222"/>
          <w:shd w:val="clear" w:color="auto" w:fill="FFFFFF"/>
        </w:rPr>
        <w:t>11,3</w:t>
      </w:r>
      <w:r w:rsidRPr="009A0EF4">
        <w:rPr>
          <w:rFonts w:cstheme="minorHAnsi"/>
          <w:color w:val="222222"/>
          <w:shd w:val="clear" w:color="auto" w:fill="FFFFFF"/>
        </w:rPr>
        <w:t xml:space="preserve"> mld EUR wzrost o </w:t>
      </w:r>
      <w:r>
        <w:rPr>
          <w:rFonts w:cstheme="minorHAnsi"/>
          <w:color w:val="222222"/>
          <w:shd w:val="clear" w:color="auto" w:fill="FFFFFF"/>
        </w:rPr>
        <w:t>46,3</w:t>
      </w:r>
      <w:r w:rsidRPr="009A0EF4">
        <w:rPr>
          <w:rFonts w:cstheme="minorHAnsi"/>
          <w:color w:val="222222"/>
          <w:shd w:val="clear" w:color="auto" w:fill="FFFFFF"/>
        </w:rPr>
        <w:t xml:space="preserve">%), zaś z krajów rozwijających się – </w:t>
      </w:r>
      <w:r>
        <w:rPr>
          <w:rFonts w:cstheme="minorHAnsi"/>
          <w:color w:val="222222"/>
          <w:shd w:val="clear" w:color="auto" w:fill="FFFFFF"/>
        </w:rPr>
        <w:t>59,6</w:t>
      </w:r>
      <w:r w:rsidRPr="009A0EF4">
        <w:rPr>
          <w:rFonts w:cstheme="minorHAnsi"/>
          <w:color w:val="222222"/>
          <w:shd w:val="clear" w:color="auto" w:fill="FFFFFF"/>
        </w:rPr>
        <w:t xml:space="preserve"> mld EUR (wzrost o </w:t>
      </w:r>
      <w:r>
        <w:rPr>
          <w:rFonts w:cstheme="minorHAnsi"/>
          <w:color w:val="222222"/>
          <w:shd w:val="clear" w:color="auto" w:fill="FFFFFF"/>
        </w:rPr>
        <w:t>26,5</w:t>
      </w:r>
      <w:r w:rsidRPr="009A0EF4">
        <w:rPr>
          <w:rFonts w:cstheme="minorHAnsi"/>
          <w:color w:val="222222"/>
          <w:shd w:val="clear" w:color="auto" w:fill="FFFFFF"/>
        </w:rPr>
        <w:t>%) głównie za sprawą Chin naszego drugiego partnera w imporcie (</w:t>
      </w:r>
      <w:r>
        <w:rPr>
          <w:rFonts w:cstheme="minorHAnsi"/>
          <w:color w:val="222222"/>
          <w:shd w:val="clear" w:color="auto" w:fill="FFFFFF"/>
        </w:rPr>
        <w:t>29,5</w:t>
      </w:r>
      <w:r w:rsidRPr="009A0EF4">
        <w:rPr>
          <w:rFonts w:cstheme="minorHAnsi"/>
          <w:color w:val="222222"/>
          <w:shd w:val="clear" w:color="auto" w:fill="FFFFFF"/>
        </w:rPr>
        <w:t xml:space="preserve"> mld EUR wzrost o </w:t>
      </w:r>
      <w:r w:rsidRPr="006E4626">
        <w:rPr>
          <w:rFonts w:cstheme="minorHAnsi"/>
          <w:color w:val="222222"/>
          <w:shd w:val="clear" w:color="auto" w:fill="FFFFFF"/>
        </w:rPr>
        <w:t>2</w:t>
      </w:r>
      <w:r>
        <w:rPr>
          <w:rFonts w:cstheme="minorHAnsi"/>
          <w:color w:val="222222"/>
          <w:shd w:val="clear" w:color="auto" w:fill="FFFFFF"/>
        </w:rPr>
        <w:t>6,3</w:t>
      </w:r>
      <w:r w:rsidRPr="009A0EF4">
        <w:rPr>
          <w:rFonts w:cstheme="minorHAnsi"/>
          <w:color w:val="222222"/>
          <w:shd w:val="clear" w:color="auto" w:fill="FFFFFF"/>
        </w:rPr>
        <w:t>%).</w:t>
      </w:r>
    </w:p>
    <w:tbl>
      <w:tblPr>
        <w:tblW w:w="977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992"/>
        <w:gridCol w:w="1134"/>
        <w:gridCol w:w="992"/>
        <w:gridCol w:w="1134"/>
      </w:tblGrid>
      <w:tr w:rsidR="008D1C3E" w:rsidRPr="004130E8" w14:paraId="2E3181D8" w14:textId="77777777" w:rsidTr="00225176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F54C" w14:textId="77777777" w:rsidR="008D1C3E" w:rsidRPr="004130E8" w:rsidRDefault="008D1C3E" w:rsidP="002251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Struktura obrotów według towarów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1C34" w14:textId="77777777" w:rsidR="008D1C3E" w:rsidRPr="004130E8" w:rsidRDefault="008D1C3E" w:rsidP="002251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Eksport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EE8D" w14:textId="77777777" w:rsidR="008D1C3E" w:rsidRPr="004130E8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- IX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7436" w14:textId="77777777" w:rsidR="008D1C3E" w:rsidRPr="004130E8" w:rsidRDefault="008D1C3E" w:rsidP="002251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Import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FF0D" w14:textId="77777777" w:rsidR="008D1C3E" w:rsidRPr="004130E8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- IX 2021</w:t>
            </w:r>
          </w:p>
        </w:tc>
      </w:tr>
      <w:tr w:rsidR="008D1C3E" w:rsidRPr="004130E8" w14:paraId="274955E7" w14:textId="77777777" w:rsidTr="00225176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1981" w14:textId="77777777" w:rsidR="008D1C3E" w:rsidRPr="004130E8" w:rsidRDefault="008D1C3E" w:rsidP="002251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4221" w14:textId="77777777" w:rsidR="008D1C3E" w:rsidRPr="004130E8" w:rsidRDefault="008D1C3E" w:rsidP="002251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mld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FC4C8" w14:textId="77777777" w:rsidR="008D1C3E" w:rsidRPr="004130E8" w:rsidRDefault="008D1C3E" w:rsidP="002251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 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E97F" w14:textId="77777777" w:rsidR="008D1C3E" w:rsidRPr="004130E8" w:rsidRDefault="008D1C3E" w:rsidP="002251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mld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99DB" w14:textId="77777777" w:rsidR="008D1C3E" w:rsidRPr="004130E8" w:rsidRDefault="008D1C3E" w:rsidP="002251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 %</w:t>
            </w:r>
          </w:p>
        </w:tc>
      </w:tr>
      <w:tr w:rsidR="008D1C3E" w:rsidRPr="004130E8" w14:paraId="2DD5086E" w14:textId="77777777" w:rsidTr="00225176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559C" w14:textId="77777777" w:rsidR="008D1C3E" w:rsidRPr="004130E8" w:rsidRDefault="008D1C3E" w:rsidP="002251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2194" w14:textId="77777777" w:rsidR="008D1C3E" w:rsidRPr="004130E8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17C9" w14:textId="77777777" w:rsidR="008D1C3E" w:rsidRPr="004130E8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5EF2" w14:textId="77777777" w:rsidR="008D1C3E" w:rsidRPr="004130E8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5D74" w14:textId="77777777" w:rsidR="008D1C3E" w:rsidRPr="004130E8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100,0</w:t>
            </w:r>
          </w:p>
        </w:tc>
      </w:tr>
      <w:tr w:rsidR="008D1C3E" w:rsidRPr="004130E8" w14:paraId="71CDFBDC" w14:textId="77777777" w:rsidTr="00225176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1CE8" w14:textId="77777777" w:rsidR="008D1C3E" w:rsidRPr="004130E8" w:rsidRDefault="008D1C3E" w:rsidP="002251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Żywność i zwierzęta żywe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CBEC" w14:textId="77777777" w:rsidR="008D1C3E" w:rsidRPr="004130E8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D5D5" w14:textId="77777777" w:rsidR="008D1C3E" w:rsidRPr="004130E8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0F98" w14:textId="77777777" w:rsidR="008D1C3E" w:rsidRPr="004130E8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EB12" w14:textId="77777777" w:rsidR="008D1C3E" w:rsidRPr="004130E8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6,7</w:t>
            </w:r>
          </w:p>
        </w:tc>
      </w:tr>
      <w:tr w:rsidR="008D1C3E" w:rsidRPr="004130E8" w14:paraId="5D367937" w14:textId="77777777" w:rsidTr="00225176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1D76" w14:textId="77777777" w:rsidR="008D1C3E" w:rsidRPr="004130E8" w:rsidRDefault="008D1C3E" w:rsidP="002251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Napoje i tytoń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F920" w14:textId="77777777" w:rsidR="008D1C3E" w:rsidRPr="004130E8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48D8" w14:textId="77777777" w:rsidR="008D1C3E" w:rsidRPr="004130E8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6900" w14:textId="77777777" w:rsidR="008D1C3E" w:rsidRPr="004130E8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F95E" w14:textId="77777777" w:rsidR="008D1C3E" w:rsidRPr="004130E8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0,8</w:t>
            </w:r>
          </w:p>
        </w:tc>
      </w:tr>
      <w:tr w:rsidR="008D1C3E" w:rsidRPr="004130E8" w14:paraId="5B841EA8" w14:textId="77777777" w:rsidTr="00225176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2CAB" w14:textId="77777777" w:rsidR="008D1C3E" w:rsidRPr="004130E8" w:rsidRDefault="008D1C3E" w:rsidP="002251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Surowce niejadalne z wyjątkiem paliw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4EFF" w14:textId="77777777" w:rsidR="008D1C3E" w:rsidRPr="004130E8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734A" w14:textId="77777777" w:rsidR="008D1C3E" w:rsidRPr="004130E8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B1E0" w14:textId="77777777" w:rsidR="008D1C3E" w:rsidRPr="004130E8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CFF7" w14:textId="77777777" w:rsidR="008D1C3E" w:rsidRPr="004130E8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3,1</w:t>
            </w:r>
          </w:p>
        </w:tc>
      </w:tr>
      <w:tr w:rsidR="008D1C3E" w:rsidRPr="004130E8" w14:paraId="4392B3BF" w14:textId="77777777" w:rsidTr="00225176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EA65" w14:textId="77777777" w:rsidR="008D1C3E" w:rsidRPr="004130E8" w:rsidRDefault="008D1C3E" w:rsidP="002251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Paliwa mineralne, smary i materiały pokrewne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1CF3" w14:textId="77777777" w:rsidR="008D1C3E" w:rsidRPr="004130E8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84A6" w14:textId="77777777" w:rsidR="008D1C3E" w:rsidRPr="004130E8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9D22" w14:textId="77777777" w:rsidR="008D1C3E" w:rsidRPr="004130E8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1079" w14:textId="77777777" w:rsidR="008D1C3E" w:rsidRPr="004130E8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5,8</w:t>
            </w:r>
          </w:p>
        </w:tc>
      </w:tr>
      <w:tr w:rsidR="008D1C3E" w:rsidRPr="004130E8" w14:paraId="2022C553" w14:textId="77777777" w:rsidTr="00225176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6C4B" w14:textId="77777777" w:rsidR="008D1C3E" w:rsidRPr="004130E8" w:rsidRDefault="008D1C3E" w:rsidP="002251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Oleje, tłuszcze, woski, zwierzęce i roślinne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709C" w14:textId="77777777" w:rsidR="008D1C3E" w:rsidRPr="004130E8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D1C9" w14:textId="77777777" w:rsidR="008D1C3E" w:rsidRPr="004130E8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DFF0" w14:textId="77777777" w:rsidR="008D1C3E" w:rsidRPr="004130E8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E4D0" w14:textId="77777777" w:rsidR="008D1C3E" w:rsidRPr="004130E8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0,4</w:t>
            </w:r>
          </w:p>
        </w:tc>
      </w:tr>
      <w:tr w:rsidR="008D1C3E" w:rsidRPr="004130E8" w14:paraId="4FF41A30" w14:textId="77777777" w:rsidTr="00225176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B8BF" w14:textId="77777777" w:rsidR="008D1C3E" w:rsidRPr="004130E8" w:rsidRDefault="008D1C3E" w:rsidP="002251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Chemikalia i produkty pochodne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6F0D" w14:textId="77777777" w:rsidR="008D1C3E" w:rsidRPr="004130E8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FC58" w14:textId="77777777" w:rsidR="008D1C3E" w:rsidRPr="004130E8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A5C4" w14:textId="77777777" w:rsidR="008D1C3E" w:rsidRPr="004130E8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3C53" w14:textId="77777777" w:rsidR="008D1C3E" w:rsidRPr="004130E8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15,1</w:t>
            </w:r>
          </w:p>
        </w:tc>
      </w:tr>
      <w:tr w:rsidR="008D1C3E" w:rsidRPr="004130E8" w14:paraId="0E0796B4" w14:textId="77777777" w:rsidTr="00225176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7BB4" w14:textId="77777777" w:rsidR="008D1C3E" w:rsidRPr="004130E8" w:rsidRDefault="008D1C3E" w:rsidP="002251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Towary przem. sklasyfikowane głównie z uwagi na surowiec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812E" w14:textId="77777777" w:rsidR="008D1C3E" w:rsidRPr="004130E8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A4EA" w14:textId="77777777" w:rsidR="008D1C3E" w:rsidRPr="004130E8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91BB" w14:textId="77777777" w:rsidR="008D1C3E" w:rsidRPr="004130E8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7BE9" w14:textId="77777777" w:rsidR="008D1C3E" w:rsidRPr="004130E8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18,0</w:t>
            </w:r>
          </w:p>
        </w:tc>
      </w:tr>
      <w:tr w:rsidR="008D1C3E" w:rsidRPr="004130E8" w14:paraId="5FE9B7D2" w14:textId="77777777" w:rsidTr="00225176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30EF" w14:textId="77777777" w:rsidR="008D1C3E" w:rsidRPr="004130E8" w:rsidRDefault="008D1C3E" w:rsidP="002251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Maszyny, urządzenia i sprzęt transportowy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2DD8" w14:textId="77777777" w:rsidR="008D1C3E" w:rsidRPr="004130E8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9C52" w14:textId="77777777" w:rsidR="008D1C3E" w:rsidRPr="004130E8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E25D" w14:textId="77777777" w:rsidR="008D1C3E" w:rsidRPr="004130E8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C4E8" w14:textId="77777777" w:rsidR="008D1C3E" w:rsidRPr="004130E8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34,7</w:t>
            </w:r>
          </w:p>
        </w:tc>
      </w:tr>
      <w:tr w:rsidR="008D1C3E" w:rsidRPr="004130E8" w14:paraId="0F5290D3" w14:textId="77777777" w:rsidTr="00225176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CE54" w14:textId="77777777" w:rsidR="008D1C3E" w:rsidRPr="004130E8" w:rsidRDefault="008D1C3E" w:rsidP="002251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Różne wyroby przemysłowe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3A97" w14:textId="77777777" w:rsidR="008D1C3E" w:rsidRPr="004130E8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9708" w14:textId="77777777" w:rsidR="008D1C3E" w:rsidRPr="004130E8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0891" w14:textId="77777777" w:rsidR="008D1C3E" w:rsidRPr="004130E8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637D" w14:textId="77777777" w:rsidR="008D1C3E" w:rsidRPr="004130E8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13,7</w:t>
            </w:r>
          </w:p>
        </w:tc>
      </w:tr>
      <w:tr w:rsidR="008D1C3E" w:rsidRPr="004130E8" w14:paraId="62E7A537" w14:textId="77777777" w:rsidTr="00225176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9D08" w14:textId="77777777" w:rsidR="008D1C3E" w:rsidRPr="004130E8" w:rsidRDefault="008D1C3E" w:rsidP="002251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Towary i transakcje niesklasyfikowane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2673" w14:textId="77777777" w:rsidR="008D1C3E" w:rsidRPr="004130E8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155F" w14:textId="77777777" w:rsidR="008D1C3E" w:rsidRPr="004130E8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A047" w14:textId="77777777" w:rsidR="008D1C3E" w:rsidRPr="004130E8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7133" w14:textId="77777777" w:rsidR="008D1C3E" w:rsidRPr="004130E8" w:rsidRDefault="008D1C3E" w:rsidP="00225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30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1,7</w:t>
            </w:r>
          </w:p>
        </w:tc>
      </w:tr>
    </w:tbl>
    <w:p w14:paraId="6BBA1A33" w14:textId="77777777" w:rsidR="008D1C3E" w:rsidRPr="001D231B" w:rsidRDefault="008D1C3E" w:rsidP="008D1C3E">
      <w:pPr>
        <w:spacing w:after="120"/>
        <w:jc w:val="both"/>
        <w:rPr>
          <w:rFonts w:cstheme="minorHAnsi"/>
          <w:color w:val="222222"/>
          <w:shd w:val="clear" w:color="auto" w:fill="FFFFFF"/>
        </w:rPr>
      </w:pPr>
    </w:p>
    <w:p w14:paraId="5D8C13F5" w14:textId="77777777" w:rsidR="008D1C3E" w:rsidRPr="001D231B" w:rsidRDefault="008D1C3E" w:rsidP="008D1C3E">
      <w:pPr>
        <w:spacing w:after="120"/>
        <w:jc w:val="both"/>
        <w:rPr>
          <w:rFonts w:cstheme="minorHAnsi"/>
          <w:color w:val="222222"/>
          <w:shd w:val="clear" w:color="auto" w:fill="FFFFFF"/>
        </w:rPr>
      </w:pPr>
      <w:r w:rsidRPr="001D231B">
        <w:rPr>
          <w:rFonts w:cstheme="minorHAnsi"/>
          <w:color w:val="222222"/>
          <w:shd w:val="clear" w:color="auto" w:fill="FFFFFF"/>
        </w:rPr>
        <w:t xml:space="preserve">W okresie </w:t>
      </w:r>
      <w:r>
        <w:rPr>
          <w:rFonts w:cstheme="minorHAnsi"/>
          <w:color w:val="222222"/>
          <w:shd w:val="clear" w:color="auto" w:fill="FFFFFF"/>
        </w:rPr>
        <w:t xml:space="preserve">I – IX 2021 w wymianie towarowej udało się wypracować nadwyżkę sięgającą 1,8 mld EUR. Wypada jednak podkreślić, że wyniki z poszczególnymi krajami czy grupami krajów były mocno zróżnicowane. W przypadku Niemiec osiągnęliśmy nadwyżkę na poziomie 16,0 mld EUR. Z pozostałymi </w:t>
      </w:r>
      <w:r>
        <w:rPr>
          <w:rFonts w:cstheme="minorHAnsi"/>
          <w:color w:val="222222"/>
          <w:shd w:val="clear" w:color="auto" w:fill="FFFFFF"/>
        </w:rPr>
        <w:lastRenderedPageBreak/>
        <w:t xml:space="preserve">krajami strefy euro wypracowaliśmy nadwyżkę w kwocie 12,8 mld EUR. Z krajami UE pozostającymi poza strefą euro osiągnięta została nadwyżka w wysokości 13,7 mld EUR. W przypadku krajów wysokorozwiniętych spoza UE wypracowana nadwyżka wyniosła 6,1 mld EUR. Z krajami Europy Środkowej i Wschodniej w wymianie mieliśmy deficyt na poziomie 3,9 mld EUR. Największy deficyt notujemy natomiast w przypadku wymiany z krajami rozwijającymi się -42,9 mld EUR (oczywiście głównie za sprawą deficytu w wymianie z Chinami).   </w:t>
      </w:r>
    </w:p>
    <w:p w14:paraId="57405ED0" w14:textId="77777777" w:rsidR="00264A44" w:rsidRDefault="00264A44"/>
    <w:sectPr w:rsidR="00264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C3E"/>
    <w:rsid w:val="001F19C3"/>
    <w:rsid w:val="00264A44"/>
    <w:rsid w:val="008D1C3E"/>
    <w:rsid w:val="0094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66D1"/>
  <w15:chartTrackingRefBased/>
  <w15:docId w15:val="{74B5F3C1-3053-4881-8028-7A22EB54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1C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987</Words>
  <Characters>5923</Characters>
  <Application>Microsoft Office Word</Application>
  <DocSecurity>0</DocSecurity>
  <Lines>49</Lines>
  <Paragraphs>13</Paragraphs>
  <ScaleCrop>false</ScaleCrop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Soroczyński</dc:creator>
  <cp:keywords/>
  <dc:description/>
  <cp:lastModifiedBy>Alicja Strzelczak</cp:lastModifiedBy>
  <cp:revision>2</cp:revision>
  <dcterms:created xsi:type="dcterms:W3CDTF">2021-11-17T10:57:00Z</dcterms:created>
  <dcterms:modified xsi:type="dcterms:W3CDTF">2021-11-17T10:57:00Z</dcterms:modified>
</cp:coreProperties>
</file>